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FA" w:rsidRPr="000E7289" w:rsidRDefault="001F5EFA" w:rsidP="001F5EFA">
      <w:pP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E7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Проект</w:t>
      </w:r>
    </w:p>
    <w:p w:rsidR="004D3E71" w:rsidRPr="00837975" w:rsidRDefault="004D3E71" w:rsidP="001F5EFA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3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Експертно-громадська рада виконавчого комітету Миколаївської міської ради </w:t>
      </w:r>
    </w:p>
    <w:p w:rsidR="004D3E71" w:rsidRPr="004D3E71" w:rsidRDefault="004D3E71" w:rsidP="004D3E7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 вересня 2017 р.</w:t>
      </w:r>
    </w:p>
    <w:p w:rsidR="001F5EFA" w:rsidRPr="008B7EFA" w:rsidRDefault="001F5EFA" w:rsidP="001F5EFA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B7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Резолюція</w:t>
      </w:r>
    </w:p>
    <w:p w:rsidR="00010913" w:rsidRPr="000E7289" w:rsidRDefault="00A378C8" w:rsidP="001F5E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(1). </w:t>
      </w:r>
      <w:r w:rsidR="000D312B"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Заслухав доповідь заступника голови ЕГР Михайла </w:t>
      </w:r>
      <w:proofErr w:type="spellStart"/>
      <w:r w:rsidR="000D312B"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Золотухіна</w:t>
      </w:r>
      <w:proofErr w:type="spellEnd"/>
      <w:r w:rsidR="000D312B"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щодо р</w:t>
      </w:r>
      <w:r w:rsidR="000D312B" w:rsidRPr="004D3E71">
        <w:rPr>
          <w:rFonts w:ascii="Times New Roman" w:hAnsi="Times New Roman" w:cs="Times New Roman"/>
          <w:sz w:val="24"/>
          <w:szCs w:val="24"/>
          <w:lang w:val="uk-UA"/>
        </w:rPr>
        <w:t xml:space="preserve">езультатів громадського аудиту доброчесності запровадження програмно-цільового методу та прогнозної оцінки ефективності бюджетних програм в сфері ЖКГ м. Миколаєва </w:t>
      </w:r>
      <w:r w:rsidR="007712FE">
        <w:rPr>
          <w:rFonts w:ascii="Times New Roman" w:hAnsi="Times New Roman" w:cs="Times New Roman"/>
          <w:sz w:val="24"/>
          <w:szCs w:val="24"/>
          <w:lang w:val="uk-UA"/>
        </w:rPr>
        <w:t>по головних розпорядниках (</w:t>
      </w:r>
      <w:r w:rsidR="007712FE" w:rsidRPr="007712F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D312B" w:rsidRPr="004D3E71">
        <w:rPr>
          <w:rFonts w:ascii="Times New Roman" w:hAnsi="Times New Roman" w:cs="Times New Roman"/>
          <w:sz w:val="24"/>
          <w:szCs w:val="24"/>
          <w:lang w:val="uk-UA"/>
        </w:rPr>
        <w:t xml:space="preserve">епартамент ЖКГ, Адміністрації районів міста), що провів ГО </w:t>
      </w:r>
      <w:r w:rsidR="001F5EFA" w:rsidRPr="004D3E7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D312B" w:rsidRPr="004D3E71">
        <w:rPr>
          <w:rFonts w:ascii="Times New Roman" w:hAnsi="Times New Roman" w:cs="Times New Roman"/>
          <w:sz w:val="24"/>
          <w:szCs w:val="24"/>
          <w:lang w:val="uk-UA"/>
        </w:rPr>
        <w:t>Фонд розвитку м. Миколаєва</w:t>
      </w:r>
      <w:r w:rsidR="001F5EFA" w:rsidRPr="004D3E7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D312B" w:rsidRPr="004D3E71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травня</w:t>
      </w:r>
      <w:r w:rsidR="00651290" w:rsidRPr="00771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6DA">
        <w:rPr>
          <w:rFonts w:ascii="Times New Roman" w:hAnsi="Times New Roman" w:cs="Times New Roman"/>
          <w:sz w:val="24"/>
          <w:szCs w:val="24"/>
          <w:lang w:val="uk-UA"/>
        </w:rPr>
        <w:t>- серпня 2017 р</w:t>
      </w:r>
      <w:r w:rsidR="000D312B" w:rsidRPr="004D3E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917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10913">
        <w:rPr>
          <w:rFonts w:ascii="Times New Roman" w:hAnsi="Times New Roman" w:cs="Times New Roman"/>
          <w:sz w:val="24"/>
          <w:szCs w:val="24"/>
          <w:lang w:val="uk-UA"/>
        </w:rPr>
        <w:t xml:space="preserve">погодитись з його висновками та рекомендаціями що у </w:t>
      </w:r>
      <w:r w:rsidR="00010913" w:rsidRPr="000E7289">
        <w:rPr>
          <w:rFonts w:ascii="Times New Roman" w:hAnsi="Times New Roman" w:cs="Times New Roman"/>
          <w:b/>
          <w:sz w:val="24"/>
          <w:szCs w:val="24"/>
          <w:lang w:val="uk-UA"/>
        </w:rPr>
        <w:t>додатку 1.</w:t>
      </w:r>
    </w:p>
    <w:p w:rsidR="001F5EFA" w:rsidRPr="004D3E71" w:rsidRDefault="00956AFB" w:rsidP="001F5EF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F5EFA" w:rsidRPr="004D3E71">
        <w:rPr>
          <w:rFonts w:ascii="Times New Roman" w:hAnsi="Times New Roman" w:cs="Times New Roman"/>
          <w:sz w:val="24"/>
          <w:szCs w:val="24"/>
          <w:lang w:val="uk-UA"/>
        </w:rPr>
        <w:t xml:space="preserve">изнав необхідність </w:t>
      </w:r>
      <w:r w:rsidR="001F5EFA"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запровадження дієвої системи контролю мешканцями міста за ефективністю виконання бюджетних програм головними розпорядниками бюджетних коштів та оптимізації системи управління виконавчими органами міської влади у м.</w:t>
      </w:r>
      <w:r w:rsidR="001F5EFA"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5EFA"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Миколаєві</w:t>
      </w:r>
      <w:r w:rsidR="000E7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0D312B" w:rsidRPr="004D3E71" w:rsidRDefault="000E7289" w:rsidP="001F5EF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7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56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також </w:t>
      </w:r>
      <w:r w:rsidR="000D312B"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керуючись </w:t>
      </w:r>
      <w:r w:rsidR="000109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pgNum/>
      </w:r>
      <w:r w:rsidR="00956A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0109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т.</w:t>
      </w:r>
      <w:r w:rsidR="000D312B"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20 Бюджетного кодексу України; Наказами Міністерства фінансів України та профільних міністерств у сфері впровадження Програмно-цільового методу при складанні та виконанні місцевих бюджетів, пунктами 9, 19, 20 частини четвертої статті 42 Закону України «Про місцеве самоврядування в Україні», а також на виконання політики якості, що затверджена рішенням Миколаївської міської ради від 24 листопада 2011 р. №11/15 «Про впровадження Політики якості виконавчих органів Миколаївської міської ради»:</w:t>
      </w:r>
    </w:p>
    <w:p w:rsidR="001F5EFA" w:rsidRPr="00ED2679" w:rsidRDefault="001F5EFA" w:rsidP="000109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0109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Pr="00010913">
        <w:rPr>
          <w:rFonts w:ascii="Times New Roman" w:hAnsi="Times New Roman" w:cs="Times New Roman"/>
          <w:sz w:val="24"/>
          <w:szCs w:val="24"/>
          <w:lang w:val="uk-UA"/>
        </w:rPr>
        <w:t xml:space="preserve">екомендувати миколаївському міському голові створити розпорядженням робочу групу </w:t>
      </w:r>
      <w:r w:rsidR="000D312B" w:rsidRPr="000109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питань демократичності, прозорості і ефективності бюджетного процесу у м. Миколаєві» (далі – робоча група)</w:t>
      </w:r>
      <w:r w:rsidRPr="000109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0D312B" w:rsidRPr="000109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10913">
        <w:rPr>
          <w:rFonts w:ascii="Times New Roman" w:hAnsi="Times New Roman" w:cs="Times New Roman"/>
          <w:sz w:val="24"/>
          <w:szCs w:val="24"/>
          <w:lang w:val="uk-UA"/>
        </w:rPr>
        <w:t>Рекомендувати включити до складу робочої групи наступних представників ЕГР</w:t>
      </w:r>
      <w:r w:rsidR="00ED26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D2679" w:rsidRPr="00ED2679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А саме </w:t>
      </w:r>
      <w:r w:rsidR="00ED2679" w:rsidRPr="00D522B4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FD1FEF" w:rsidRPr="004D3E71" w:rsidRDefault="000D312B" w:rsidP="00FD1F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E71">
        <w:rPr>
          <w:rFonts w:ascii="Times New Roman" w:hAnsi="Times New Roman" w:cs="Times New Roman"/>
          <w:sz w:val="24"/>
          <w:szCs w:val="24"/>
          <w:lang w:val="uk-UA"/>
        </w:rPr>
        <w:t>Членам р</w:t>
      </w:r>
      <w:r w:rsidR="00FD1FEF" w:rsidRPr="004D3E71">
        <w:rPr>
          <w:rFonts w:ascii="Times New Roman" w:hAnsi="Times New Roman" w:cs="Times New Roman"/>
          <w:sz w:val="24"/>
          <w:szCs w:val="24"/>
          <w:lang w:val="uk-UA"/>
        </w:rPr>
        <w:t xml:space="preserve">обочої групі </w:t>
      </w:r>
      <w:r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основі висновків і рекомендації громадського аудиту</w:t>
      </w:r>
      <w:r w:rsidRPr="004D3E71">
        <w:rPr>
          <w:rFonts w:ascii="Times New Roman" w:hAnsi="Times New Roman" w:cs="Times New Roman"/>
          <w:sz w:val="24"/>
          <w:szCs w:val="24"/>
          <w:lang w:val="uk-UA"/>
        </w:rPr>
        <w:t xml:space="preserve"> доброчесності запровадження програмно-цільового методу</w:t>
      </w:r>
      <w:r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Pr="004D3E71">
        <w:rPr>
          <w:rFonts w:ascii="Times New Roman" w:hAnsi="Times New Roman" w:cs="Times New Roman"/>
          <w:sz w:val="24"/>
          <w:szCs w:val="24"/>
          <w:lang w:val="uk-UA"/>
        </w:rPr>
        <w:t>прогнозної оцінки ефективності бюджетних програм в сфері ЖКГ м. Миколаєва по головних розпорядниках (департамент ЖКГ, Адміністрації районів міста</w:t>
      </w:r>
      <w:r w:rsidR="000360A0" w:rsidRPr="004D3E7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37975" w:rsidRPr="0083797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D3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60A0" w:rsidRPr="004D3E71" w:rsidRDefault="000D312B" w:rsidP="000D31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3E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Провести відповідний аналіз діяльності головних розпорядників бюджетних коштів у сфері ЖКГ та напрацювати рекомендації з відповідним пакетом проектів місцевих нормативно-правових актів щодо запровадження дієвої системи контролю за ефективністю виконання бюджетних програм головними розпорядниками бюджетних коштів та оптимізації системи управління виконавчими органами міської ради. </w:t>
      </w:r>
    </w:p>
    <w:p w:rsidR="000D312B" w:rsidRPr="004D3E71" w:rsidRDefault="000D312B" w:rsidP="000D31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3E71">
        <w:rPr>
          <w:rFonts w:ascii="Times New Roman" w:hAnsi="Times New Roman" w:cs="Times New Roman"/>
          <w:sz w:val="24"/>
          <w:szCs w:val="24"/>
          <w:lang w:val="uk-UA"/>
        </w:rPr>
        <w:t>Напрацювати план дій органів місцевого самоврядування згідно висновків та рекомендацій громадського аудиту.</w:t>
      </w:r>
    </w:p>
    <w:p w:rsidR="000E7289" w:rsidRDefault="000E7289" w:rsidP="0007566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7289" w:rsidRPr="000E7289" w:rsidRDefault="000E7289" w:rsidP="0007566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7289">
        <w:rPr>
          <w:rFonts w:ascii="Times New Roman" w:hAnsi="Times New Roman" w:cs="Times New Roman"/>
          <w:b/>
          <w:sz w:val="24"/>
          <w:szCs w:val="24"/>
          <w:lang w:val="uk-UA"/>
        </w:rPr>
        <w:t>Голова ЕГР</w:t>
      </w:r>
      <w:r w:rsidRPr="000E728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E728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E728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Артем </w:t>
      </w:r>
      <w:proofErr w:type="spellStart"/>
      <w:r w:rsidRPr="000E7289">
        <w:rPr>
          <w:rFonts w:ascii="Times New Roman" w:hAnsi="Times New Roman" w:cs="Times New Roman"/>
          <w:b/>
          <w:sz w:val="24"/>
          <w:szCs w:val="24"/>
          <w:lang w:val="uk-UA"/>
        </w:rPr>
        <w:t>Ващиленко</w:t>
      </w:r>
      <w:proofErr w:type="spellEnd"/>
    </w:p>
    <w:p w:rsidR="000E7289" w:rsidRPr="000E7289" w:rsidRDefault="000E7289" w:rsidP="0007566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72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голови ЕГР </w:t>
      </w:r>
      <w:r w:rsidRPr="000E728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Михайло </w:t>
      </w:r>
      <w:proofErr w:type="spellStart"/>
      <w:r w:rsidRPr="000E7289">
        <w:rPr>
          <w:rFonts w:ascii="Times New Roman" w:hAnsi="Times New Roman" w:cs="Times New Roman"/>
          <w:b/>
          <w:sz w:val="24"/>
          <w:szCs w:val="24"/>
          <w:lang w:val="uk-UA"/>
        </w:rPr>
        <w:t>Золотухін</w:t>
      </w:r>
      <w:proofErr w:type="spellEnd"/>
    </w:p>
    <w:p w:rsidR="00075667" w:rsidRPr="00010913" w:rsidRDefault="00010913" w:rsidP="0001091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91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Pr="00010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</w:p>
    <w:p w:rsidR="00152355" w:rsidRDefault="00152355" w:rsidP="0001091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10913" w:rsidRPr="00010913" w:rsidRDefault="00010913" w:rsidP="000109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09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Pr="00010913">
        <w:rPr>
          <w:rFonts w:ascii="Times New Roman" w:hAnsi="Times New Roman" w:cs="Times New Roman"/>
          <w:sz w:val="24"/>
          <w:szCs w:val="24"/>
          <w:lang w:val="uk-UA"/>
        </w:rPr>
        <w:t>езультати громадського аудиту доброчесності запровадження програмно-цільового методу та прогнозної оцінки ефективності бюджетних програм в сфері ЖКГ м. Миколаєва, що провів ГО «Фонд розвитку м. Миколаєва» протягом травня - серпня 2017 р</w:t>
      </w:r>
    </w:p>
    <w:p w:rsidR="00152355" w:rsidRDefault="00152355" w:rsidP="00010913">
      <w:pPr>
        <w:pStyle w:val="a4"/>
        <w:spacing w:before="0" w:beforeAutospacing="0" w:after="0" w:afterAutospacing="0"/>
        <w:ind w:left="360"/>
        <w:jc w:val="center"/>
        <w:rPr>
          <w:b/>
          <w:lang w:val="uk-UA"/>
        </w:rPr>
      </w:pPr>
    </w:p>
    <w:p w:rsidR="00BE69D7" w:rsidRDefault="00BE69D7" w:rsidP="00010913">
      <w:pPr>
        <w:pStyle w:val="a4"/>
        <w:spacing w:before="0" w:beforeAutospacing="0" w:after="0" w:afterAutospacing="0"/>
        <w:ind w:left="360"/>
        <w:jc w:val="center"/>
        <w:rPr>
          <w:b/>
          <w:lang w:val="uk-UA"/>
        </w:rPr>
      </w:pPr>
    </w:p>
    <w:p w:rsidR="00010913" w:rsidRDefault="00152355" w:rsidP="00010913">
      <w:pPr>
        <w:pStyle w:val="a4"/>
        <w:spacing w:before="0" w:beforeAutospacing="0" w:after="0" w:afterAutospacing="0"/>
        <w:ind w:left="360"/>
        <w:jc w:val="center"/>
        <w:rPr>
          <w:b/>
          <w:lang w:val="uk-UA"/>
        </w:rPr>
      </w:pPr>
      <w:r>
        <w:rPr>
          <w:b/>
          <w:lang w:val="uk-UA"/>
        </w:rPr>
        <w:t>ВИСНОВКИ</w:t>
      </w:r>
      <w:r w:rsidR="00010913" w:rsidRPr="00010913">
        <w:rPr>
          <w:b/>
          <w:lang w:val="uk-UA"/>
        </w:rPr>
        <w:t>.</w:t>
      </w:r>
    </w:p>
    <w:p w:rsidR="00BE69D7" w:rsidRDefault="00BE69D7" w:rsidP="00010913">
      <w:pPr>
        <w:pStyle w:val="a4"/>
        <w:spacing w:before="0" w:beforeAutospacing="0" w:after="0" w:afterAutospacing="0"/>
        <w:ind w:left="360"/>
        <w:jc w:val="center"/>
        <w:rPr>
          <w:b/>
          <w:lang w:val="en-US"/>
        </w:rPr>
      </w:pPr>
    </w:p>
    <w:p w:rsidR="00152355" w:rsidRPr="00152355" w:rsidRDefault="00152355" w:rsidP="00010913">
      <w:pPr>
        <w:pStyle w:val="a4"/>
        <w:spacing w:before="0" w:beforeAutospacing="0" w:after="0" w:afterAutospacing="0"/>
        <w:ind w:left="360"/>
        <w:jc w:val="center"/>
        <w:rPr>
          <w:b/>
          <w:lang w:val="en-US"/>
        </w:rPr>
      </w:pPr>
    </w:p>
    <w:p w:rsidR="00010913" w:rsidRPr="00152355" w:rsidRDefault="00010913" w:rsidP="00010913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010913">
        <w:rPr>
          <w:lang w:val="uk-UA"/>
        </w:rPr>
        <w:t xml:space="preserve"> </w:t>
      </w:r>
      <w:r w:rsidRPr="00010913">
        <w:rPr>
          <w:bCs/>
          <w:lang w:val="uk-UA"/>
        </w:rPr>
        <w:t xml:space="preserve">Дисципліна заповнення пакету результативних показників бюджетних запитів та паспортів бюджетних програм у в сфері делегованих повноважень (безпосереднє надання соціальних послуг – </w:t>
      </w:r>
      <w:r w:rsidRPr="00010913">
        <w:rPr>
          <w:i/>
          <w:lang w:val="uk-UA"/>
        </w:rPr>
        <w:t>«Керівництво і управління у сфері…,»</w:t>
      </w:r>
      <w:r w:rsidRPr="00010913">
        <w:rPr>
          <w:bCs/>
          <w:lang w:val="uk-UA"/>
        </w:rPr>
        <w:t xml:space="preserve">) досить висока. В переважній більшості результативні показники визначені в чіткій відповідності до профільних наказів </w:t>
      </w:r>
      <w:r w:rsidR="00152355">
        <w:rPr>
          <w:bCs/>
          <w:lang w:val="uk-UA"/>
        </w:rPr>
        <w:t>МФУ та відповідних Міністерств</w:t>
      </w:r>
      <w:r w:rsidR="00152355" w:rsidRPr="00152355">
        <w:rPr>
          <w:bCs/>
        </w:rPr>
        <w:t>;</w:t>
      </w:r>
    </w:p>
    <w:p w:rsidR="00152355" w:rsidRPr="00010913" w:rsidRDefault="00152355" w:rsidP="00152355">
      <w:pPr>
        <w:pStyle w:val="a4"/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DD4288" w:rsidRPr="00DD4288" w:rsidRDefault="00010913" w:rsidP="00DD4288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DD4288">
        <w:rPr>
          <w:bCs/>
          <w:lang w:val="uk-UA"/>
        </w:rPr>
        <w:t>Дисципліна визначення заходів, завдань та результативності по бюджетних програмах, пов’язаних з виконанням власних повноважень ОМС</w:t>
      </w:r>
      <w:r w:rsidRPr="00DD4288">
        <w:rPr>
          <w:lang w:val="uk-UA"/>
        </w:rPr>
        <w:t xml:space="preserve">  (Житлово-комунальне господарство, Благоустрій, Капремонти житлового фонду, фінансова підтримка об’єктів комунального господарства, та </w:t>
      </w:r>
      <w:proofErr w:type="spellStart"/>
      <w:r w:rsidRPr="00DD4288">
        <w:rPr>
          <w:lang w:val="uk-UA"/>
        </w:rPr>
        <w:t>інш</w:t>
      </w:r>
      <w:proofErr w:type="spellEnd"/>
      <w:r w:rsidR="00C65785" w:rsidRPr="00C65785">
        <w:t>.</w:t>
      </w:r>
      <w:r w:rsidRPr="00DD4288">
        <w:rPr>
          <w:lang w:val="uk-UA"/>
        </w:rPr>
        <w:t>)</w:t>
      </w:r>
      <w:r w:rsidRPr="00DD4288">
        <w:rPr>
          <w:bCs/>
          <w:lang w:val="uk-UA"/>
        </w:rPr>
        <w:t xml:space="preserve">  залишається вкрай низькою. </w:t>
      </w:r>
    </w:p>
    <w:p w:rsidR="00010913" w:rsidRPr="00152355" w:rsidRDefault="00010913" w:rsidP="00DD4288">
      <w:pPr>
        <w:pStyle w:val="a4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010913">
        <w:rPr>
          <w:bCs/>
          <w:lang w:val="uk-UA"/>
        </w:rPr>
        <w:t>Повні пакети результативних показників у переважній більшості таких програм або відсутні, або не співпадають з типовим пакетом профільного Наказу 945, або визначені таким чином, що неможливо всебічно оцінити результативніст</w:t>
      </w:r>
      <w:r w:rsidR="00152355">
        <w:rPr>
          <w:bCs/>
          <w:lang w:val="uk-UA"/>
        </w:rPr>
        <w:t>ь виконання бюджетної програми</w:t>
      </w:r>
      <w:r w:rsidR="00152355" w:rsidRPr="00152355">
        <w:rPr>
          <w:bCs/>
        </w:rPr>
        <w:t>;</w:t>
      </w:r>
    </w:p>
    <w:p w:rsidR="00152355" w:rsidRDefault="00152355" w:rsidP="00152355">
      <w:pPr>
        <w:pStyle w:val="a3"/>
        <w:rPr>
          <w:bCs/>
          <w:lang w:val="uk-UA"/>
        </w:rPr>
      </w:pPr>
    </w:p>
    <w:p w:rsidR="00010913" w:rsidRPr="00152355" w:rsidRDefault="00010913" w:rsidP="00010913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010913">
        <w:rPr>
          <w:bCs/>
          <w:lang w:val="uk-UA"/>
        </w:rPr>
        <w:t>Спостерігаються випадки дублювання заходів та завдань різних бюджетних програм по одному й тому ж головному розпоряднику, що є проявом нечіткого визначення мети діяльності саме головних розпорядників бюджетних коштів та нечіткого визначення мети реалізації бюджетної програми. А також випадки штучного дроблення завдань заходів, що приводить до необґрунтованого здороження товарів, робіт, послуг, що планується закуповувати за кошти бюджету</w:t>
      </w:r>
      <w:r w:rsidR="00152355" w:rsidRPr="00152355">
        <w:rPr>
          <w:bCs/>
        </w:rPr>
        <w:t>;</w:t>
      </w:r>
    </w:p>
    <w:p w:rsidR="00152355" w:rsidRDefault="00152355" w:rsidP="00152355">
      <w:pPr>
        <w:pStyle w:val="a3"/>
        <w:rPr>
          <w:bCs/>
          <w:lang w:val="uk-UA"/>
        </w:rPr>
      </w:pPr>
    </w:p>
    <w:p w:rsidR="00010913" w:rsidRPr="00152355" w:rsidRDefault="00010913" w:rsidP="00010913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010913">
        <w:rPr>
          <w:bCs/>
          <w:lang w:val="uk-UA"/>
        </w:rPr>
        <w:t xml:space="preserve">В бюджетних програмах спостерігається завищення планових результативних показників (показників ефективності), що може привести до неефективного та / або нецільового використання бюджетних коштів. </w:t>
      </w:r>
      <w:r w:rsidRPr="00010913">
        <w:rPr>
          <w:b/>
          <w:bCs/>
          <w:lang w:val="uk-UA"/>
        </w:rPr>
        <w:t>Докладніше в Розділі 2</w:t>
      </w:r>
      <w:r>
        <w:rPr>
          <w:b/>
          <w:bCs/>
          <w:lang w:val="uk-UA"/>
        </w:rPr>
        <w:t xml:space="preserve"> аналітичної </w:t>
      </w:r>
      <w:r w:rsidRPr="00010913">
        <w:rPr>
          <w:bCs/>
          <w:lang w:val="uk-UA"/>
        </w:rPr>
        <w:t>записки громадського аудиту.</w:t>
      </w:r>
    </w:p>
    <w:p w:rsidR="00152355" w:rsidRDefault="00152355" w:rsidP="00152355">
      <w:pPr>
        <w:pStyle w:val="a3"/>
        <w:rPr>
          <w:bCs/>
          <w:lang w:val="uk-UA"/>
        </w:rPr>
      </w:pPr>
    </w:p>
    <w:p w:rsidR="00152355" w:rsidRPr="00010913" w:rsidRDefault="00152355" w:rsidP="00152355">
      <w:pPr>
        <w:pStyle w:val="a4"/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010913" w:rsidRDefault="00010913" w:rsidP="00010913">
      <w:pPr>
        <w:pStyle w:val="a4"/>
        <w:spacing w:before="0" w:beforeAutospacing="0" w:after="0" w:afterAutospacing="0"/>
        <w:ind w:left="1287"/>
        <w:rPr>
          <w:b/>
          <w:bCs/>
          <w:lang w:val="uk-UA"/>
        </w:rPr>
      </w:pPr>
    </w:p>
    <w:p w:rsidR="00152355" w:rsidRDefault="00152355" w:rsidP="00010913">
      <w:pPr>
        <w:pStyle w:val="a4"/>
        <w:spacing w:before="0" w:beforeAutospacing="0" w:after="0" w:afterAutospacing="0"/>
        <w:ind w:left="1287"/>
        <w:rPr>
          <w:b/>
          <w:bCs/>
          <w:lang w:val="uk-UA"/>
        </w:rPr>
      </w:pPr>
    </w:p>
    <w:p w:rsidR="00152355" w:rsidRDefault="00152355" w:rsidP="00010913">
      <w:pPr>
        <w:pStyle w:val="a4"/>
        <w:spacing w:before="0" w:beforeAutospacing="0" w:after="0" w:afterAutospacing="0"/>
        <w:ind w:left="1287"/>
        <w:rPr>
          <w:b/>
          <w:bCs/>
          <w:lang w:val="uk-UA"/>
        </w:rPr>
      </w:pPr>
    </w:p>
    <w:p w:rsidR="00152355" w:rsidRDefault="00152355" w:rsidP="00010913">
      <w:pPr>
        <w:pStyle w:val="a4"/>
        <w:spacing w:before="0" w:beforeAutospacing="0" w:after="0" w:afterAutospacing="0"/>
        <w:ind w:left="1287"/>
        <w:rPr>
          <w:b/>
          <w:bCs/>
          <w:lang w:val="uk-UA"/>
        </w:rPr>
      </w:pPr>
    </w:p>
    <w:p w:rsidR="00152355" w:rsidRDefault="00152355" w:rsidP="00010913">
      <w:pPr>
        <w:pStyle w:val="a4"/>
        <w:spacing w:before="0" w:beforeAutospacing="0" w:after="0" w:afterAutospacing="0"/>
        <w:ind w:left="1287"/>
        <w:rPr>
          <w:b/>
          <w:bCs/>
          <w:lang w:val="uk-UA"/>
        </w:rPr>
      </w:pPr>
    </w:p>
    <w:p w:rsidR="00152355" w:rsidRDefault="00152355" w:rsidP="00010913">
      <w:pPr>
        <w:pStyle w:val="a4"/>
        <w:spacing w:before="0" w:beforeAutospacing="0" w:after="0" w:afterAutospacing="0"/>
        <w:ind w:left="1287"/>
        <w:rPr>
          <w:b/>
          <w:bCs/>
          <w:lang w:val="uk-UA"/>
        </w:rPr>
      </w:pPr>
    </w:p>
    <w:p w:rsidR="00152355" w:rsidRDefault="00152355" w:rsidP="00010913">
      <w:pPr>
        <w:pStyle w:val="a4"/>
        <w:spacing w:before="0" w:beforeAutospacing="0" w:after="0" w:afterAutospacing="0"/>
        <w:ind w:left="1287"/>
        <w:rPr>
          <w:b/>
          <w:bCs/>
          <w:lang w:val="uk-UA"/>
        </w:rPr>
      </w:pPr>
    </w:p>
    <w:p w:rsidR="00152355" w:rsidRDefault="00152355" w:rsidP="00010913">
      <w:pPr>
        <w:pStyle w:val="a4"/>
        <w:spacing w:before="0" w:beforeAutospacing="0" w:after="0" w:afterAutospacing="0"/>
        <w:ind w:left="1287"/>
        <w:rPr>
          <w:b/>
          <w:bCs/>
          <w:lang w:val="en-US"/>
        </w:rPr>
      </w:pPr>
    </w:p>
    <w:p w:rsidR="00DD071F" w:rsidRDefault="00DD071F" w:rsidP="00010913">
      <w:pPr>
        <w:pStyle w:val="a4"/>
        <w:spacing w:before="0" w:beforeAutospacing="0" w:after="0" w:afterAutospacing="0"/>
        <w:ind w:left="1287"/>
        <w:rPr>
          <w:b/>
          <w:bCs/>
          <w:lang w:val="en-US"/>
        </w:rPr>
      </w:pPr>
    </w:p>
    <w:p w:rsidR="00DD071F" w:rsidRPr="00DD071F" w:rsidRDefault="00DD071F" w:rsidP="00010913">
      <w:pPr>
        <w:pStyle w:val="a4"/>
        <w:spacing w:before="0" w:beforeAutospacing="0" w:after="0" w:afterAutospacing="0"/>
        <w:ind w:left="1287"/>
        <w:rPr>
          <w:b/>
          <w:bCs/>
          <w:lang w:val="en-US"/>
        </w:rPr>
      </w:pPr>
    </w:p>
    <w:p w:rsidR="00010913" w:rsidRPr="00152355" w:rsidRDefault="00010913" w:rsidP="00010913">
      <w:pPr>
        <w:pStyle w:val="a4"/>
        <w:spacing w:before="0" w:beforeAutospacing="0" w:after="0" w:afterAutospacing="0"/>
        <w:jc w:val="center"/>
        <w:rPr>
          <w:b/>
          <w:bCs/>
          <w:lang w:val="en-US"/>
        </w:rPr>
      </w:pPr>
      <w:r w:rsidRPr="00152355">
        <w:rPr>
          <w:b/>
          <w:bCs/>
          <w:lang w:val="uk-UA"/>
        </w:rPr>
        <w:t>РЕКОМЕНДАЦІЇ</w:t>
      </w:r>
    </w:p>
    <w:p w:rsidR="00152355" w:rsidRPr="00152355" w:rsidRDefault="00152355" w:rsidP="00010913">
      <w:pPr>
        <w:pStyle w:val="a4"/>
        <w:spacing w:before="0" w:beforeAutospacing="0" w:after="0" w:afterAutospacing="0"/>
        <w:jc w:val="center"/>
        <w:rPr>
          <w:b/>
          <w:bCs/>
          <w:lang w:val="en-US"/>
        </w:rPr>
      </w:pPr>
    </w:p>
    <w:p w:rsidR="00010913" w:rsidRPr="00152355" w:rsidRDefault="00010913" w:rsidP="00010913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010913">
        <w:rPr>
          <w:lang w:val="uk-UA"/>
        </w:rPr>
        <w:t xml:space="preserve">Чітко визначити мету, завдання діяльності та послуги (їх ідентифікацію, склад, об’єм), що надає головні розпорядники бюджетних коштів </w:t>
      </w:r>
      <w:r w:rsidRPr="00010913">
        <w:rPr>
          <w:bCs/>
          <w:lang w:val="uk-UA"/>
        </w:rPr>
        <w:t>Департамент ЖКГ М</w:t>
      </w:r>
      <w:r w:rsidR="00FD03D3">
        <w:rPr>
          <w:bCs/>
          <w:lang w:val="uk-UA"/>
        </w:rPr>
        <w:t>иколаївської міської ради (М</w:t>
      </w:r>
      <w:r w:rsidRPr="00010913">
        <w:rPr>
          <w:bCs/>
          <w:lang w:val="uk-UA"/>
        </w:rPr>
        <w:t>МР</w:t>
      </w:r>
      <w:r w:rsidR="00FD03D3">
        <w:rPr>
          <w:bCs/>
          <w:lang w:val="uk-UA"/>
        </w:rPr>
        <w:t>)</w:t>
      </w:r>
      <w:r w:rsidRPr="00010913">
        <w:rPr>
          <w:bCs/>
          <w:lang w:val="uk-UA"/>
        </w:rPr>
        <w:t>,</w:t>
      </w:r>
      <w:r w:rsidRPr="00010913">
        <w:rPr>
          <w:lang w:val="uk-UA"/>
        </w:rPr>
        <w:t xml:space="preserve"> Адміністрації районів</w:t>
      </w:r>
      <w:r w:rsidR="00152355" w:rsidRPr="00152355">
        <w:rPr>
          <w:lang w:val="uk-UA"/>
        </w:rPr>
        <w:t>;</w:t>
      </w:r>
    </w:p>
    <w:p w:rsidR="00152355" w:rsidRPr="00010913" w:rsidRDefault="00152355" w:rsidP="0015235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010913" w:rsidRPr="000747E7" w:rsidRDefault="00010913" w:rsidP="00010913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010913">
        <w:rPr>
          <w:lang w:val="uk-UA"/>
        </w:rPr>
        <w:t>Визначити чітку сферу відповідальності Департаменту ЖКГ Адміністрацій районів у сфері благоустрою міста, особливо це стосується д</w:t>
      </w:r>
      <w:r w:rsidR="000747E7">
        <w:rPr>
          <w:lang w:val="uk-UA"/>
        </w:rPr>
        <w:t>огляду за зеленими насадженнями</w:t>
      </w:r>
      <w:r w:rsidR="000747E7" w:rsidRPr="000747E7">
        <w:t>;</w:t>
      </w:r>
    </w:p>
    <w:p w:rsidR="000747E7" w:rsidRDefault="000747E7" w:rsidP="000747E7">
      <w:pPr>
        <w:pStyle w:val="a3"/>
        <w:rPr>
          <w:lang w:val="uk-UA"/>
        </w:rPr>
      </w:pPr>
    </w:p>
    <w:p w:rsidR="00010913" w:rsidRPr="00010913" w:rsidRDefault="00010913" w:rsidP="00010913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010913">
        <w:rPr>
          <w:lang w:val="uk-UA"/>
        </w:rPr>
        <w:t xml:space="preserve">Виконати </w:t>
      </w:r>
      <w:r w:rsidR="00826191">
        <w:rPr>
          <w:lang w:val="uk-UA"/>
        </w:rPr>
        <w:t xml:space="preserve">наступні </w:t>
      </w:r>
      <w:r w:rsidRPr="00010913">
        <w:rPr>
          <w:lang w:val="uk-UA"/>
        </w:rPr>
        <w:t xml:space="preserve">рекомендації Державної аудиторської служби за результатами державного фінансового </w:t>
      </w:r>
      <w:r w:rsidR="000747E7">
        <w:rPr>
          <w:lang w:val="uk-UA"/>
        </w:rPr>
        <w:t>аудиту департаменту ЖКГ в 2015</w:t>
      </w:r>
      <w:r w:rsidR="000747E7" w:rsidRPr="000747E7">
        <w:t xml:space="preserve"> </w:t>
      </w:r>
      <w:r w:rsidR="000747E7">
        <w:rPr>
          <w:lang w:val="uk-UA"/>
        </w:rPr>
        <w:t>р</w:t>
      </w:r>
      <w:r w:rsidR="000747E7" w:rsidRPr="000747E7">
        <w:t>.</w:t>
      </w:r>
      <w:r w:rsidR="00826191" w:rsidRPr="00826191">
        <w:t>:</w:t>
      </w:r>
    </w:p>
    <w:p w:rsidR="00010913" w:rsidRPr="00D522B4" w:rsidRDefault="00010913" w:rsidP="00010913">
      <w:pPr>
        <w:pStyle w:val="a4"/>
        <w:spacing w:before="0" w:beforeAutospacing="0" w:after="0" w:afterAutospacing="0"/>
        <w:jc w:val="both"/>
      </w:pPr>
      <w:r w:rsidRPr="00010913">
        <w:rPr>
          <w:lang w:val="uk-UA"/>
        </w:rPr>
        <w:t>- «</w:t>
      </w:r>
      <w:r w:rsidR="00826191">
        <w:rPr>
          <w:lang w:val="uk-UA"/>
        </w:rPr>
        <w:t>…</w:t>
      </w:r>
      <w:r w:rsidRPr="00010913">
        <w:rPr>
          <w:lang w:val="uk-UA"/>
        </w:rPr>
        <w:t xml:space="preserve">В межах повноважень, ініціювати створення комісії для проведення обстеження об’єктів благоустрою з метою визначення їх характеристик (площі, об’єму, ступеня засміченості, потреби модернізації, ремонту, заміні тощо). Результати проведеної роботи оформити </w:t>
      </w:r>
      <w:proofErr w:type="spellStart"/>
      <w:r w:rsidRPr="00010913">
        <w:rPr>
          <w:lang w:val="uk-UA"/>
        </w:rPr>
        <w:t>докумен</w:t>
      </w:r>
      <w:r w:rsidRPr="00010913">
        <w:t>тально</w:t>
      </w:r>
      <w:proofErr w:type="spellEnd"/>
      <w:r w:rsidR="00826191" w:rsidRPr="00826191">
        <w:t>…</w:t>
      </w:r>
      <w:r w:rsidRPr="00010913">
        <w:rPr>
          <w:lang w:val="uk-UA"/>
        </w:rPr>
        <w:t>»</w:t>
      </w:r>
      <w:r w:rsidR="000747E7" w:rsidRPr="00D522B4">
        <w:t xml:space="preserve"> ;</w:t>
      </w:r>
    </w:p>
    <w:p w:rsidR="00010913" w:rsidRPr="00152355" w:rsidRDefault="00010913" w:rsidP="00010913">
      <w:pPr>
        <w:pStyle w:val="a4"/>
        <w:spacing w:before="0" w:beforeAutospacing="0" w:after="0" w:afterAutospacing="0"/>
        <w:jc w:val="both"/>
        <w:rPr>
          <w:lang w:val="uk-UA"/>
        </w:rPr>
      </w:pPr>
      <w:r w:rsidRPr="00010913">
        <w:rPr>
          <w:lang w:val="uk-UA"/>
        </w:rPr>
        <w:t>- «</w:t>
      </w:r>
      <w:r w:rsidR="00826191">
        <w:rPr>
          <w:lang w:val="uk-UA"/>
        </w:rPr>
        <w:t>…</w:t>
      </w:r>
      <w:r w:rsidR="00826191" w:rsidRPr="00826191">
        <w:rPr>
          <w:lang w:val="uk-UA"/>
        </w:rPr>
        <w:t>..</w:t>
      </w:r>
      <w:r w:rsidRPr="00010913">
        <w:rPr>
          <w:lang w:val="uk-UA"/>
        </w:rPr>
        <w:t xml:space="preserve">В рамках діючого законодавства розглянути питання щодо проведення інвентаризації об’єктів благоустрою, визначення їх </w:t>
      </w:r>
      <w:proofErr w:type="spellStart"/>
      <w:r w:rsidRPr="00010913">
        <w:rPr>
          <w:lang w:val="uk-UA"/>
        </w:rPr>
        <w:t>балансоутримувачів</w:t>
      </w:r>
      <w:proofErr w:type="spellEnd"/>
      <w:r w:rsidRPr="00010913">
        <w:rPr>
          <w:lang w:val="uk-UA"/>
        </w:rPr>
        <w:t>, а також вирішення питання впорядкування земель під цими об’єктами</w:t>
      </w:r>
      <w:r w:rsidR="00826191" w:rsidRPr="00152355">
        <w:rPr>
          <w:lang w:val="uk-UA"/>
        </w:rPr>
        <w:t>…..</w:t>
      </w:r>
      <w:r w:rsidRPr="00010913">
        <w:rPr>
          <w:lang w:val="uk-UA"/>
        </w:rPr>
        <w:t>»</w:t>
      </w:r>
      <w:r w:rsidR="00152355" w:rsidRPr="00152355">
        <w:rPr>
          <w:lang w:val="uk-UA"/>
        </w:rPr>
        <w:t>;</w:t>
      </w:r>
    </w:p>
    <w:p w:rsidR="00152355" w:rsidRPr="00152355" w:rsidRDefault="00152355" w:rsidP="00010913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010913" w:rsidRPr="00152355" w:rsidRDefault="00010913" w:rsidP="00010913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010913">
        <w:rPr>
          <w:bCs/>
          <w:lang w:val="uk-UA"/>
        </w:rPr>
        <w:t>Бюджетні запити та паспорти бюджетних програм ГРБК – привести у відповідність до типових наказів МФУ та профільних Міністерств в плані застосування типових бюджетн</w:t>
      </w:r>
      <w:r w:rsidR="00152355">
        <w:rPr>
          <w:bCs/>
          <w:lang w:val="uk-UA"/>
        </w:rPr>
        <w:t>их програм, підпрограм, завдань</w:t>
      </w:r>
      <w:r w:rsidR="00152355" w:rsidRPr="00152355">
        <w:rPr>
          <w:bCs/>
        </w:rPr>
        <w:t>;</w:t>
      </w:r>
    </w:p>
    <w:p w:rsidR="00152355" w:rsidRPr="00010913" w:rsidRDefault="00152355" w:rsidP="0015235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010913" w:rsidRPr="00152355" w:rsidRDefault="00010913" w:rsidP="00010913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010913">
        <w:rPr>
          <w:bCs/>
          <w:lang w:val="uk-UA"/>
        </w:rPr>
        <w:t xml:space="preserve">Пакети результативних показників </w:t>
      </w:r>
      <w:r w:rsidR="004A7976">
        <w:rPr>
          <w:bCs/>
          <w:lang w:val="uk-UA"/>
        </w:rPr>
        <w:t>бюджетних запитів (</w:t>
      </w:r>
      <w:r w:rsidRPr="00010913">
        <w:rPr>
          <w:bCs/>
          <w:lang w:val="uk-UA"/>
        </w:rPr>
        <w:t>БЗ</w:t>
      </w:r>
      <w:r w:rsidR="004A7976">
        <w:rPr>
          <w:bCs/>
          <w:lang w:val="uk-UA"/>
        </w:rPr>
        <w:t>)</w:t>
      </w:r>
      <w:r w:rsidRPr="00010913">
        <w:rPr>
          <w:bCs/>
          <w:lang w:val="uk-UA"/>
        </w:rPr>
        <w:t xml:space="preserve"> та </w:t>
      </w:r>
      <w:r w:rsidR="004A7976">
        <w:rPr>
          <w:bCs/>
          <w:lang w:val="uk-UA"/>
        </w:rPr>
        <w:t>паспортів бюджетних програм (</w:t>
      </w:r>
      <w:r w:rsidRPr="00010913">
        <w:rPr>
          <w:bCs/>
          <w:lang w:val="uk-UA"/>
        </w:rPr>
        <w:t>ПБП</w:t>
      </w:r>
      <w:r w:rsidR="004A7976">
        <w:rPr>
          <w:bCs/>
          <w:lang w:val="uk-UA"/>
        </w:rPr>
        <w:t>)</w:t>
      </w:r>
      <w:r w:rsidRPr="00010913">
        <w:rPr>
          <w:bCs/>
          <w:lang w:val="uk-UA"/>
        </w:rPr>
        <w:t xml:space="preserve"> привести у чітку відповідність до типових пакетів показників профільних наказів. При застосуванні неповного переліку результативних показників </w:t>
      </w:r>
      <w:r w:rsidR="00152355">
        <w:rPr>
          <w:bCs/>
          <w:lang w:val="uk-UA"/>
        </w:rPr>
        <w:t>надавати обґрунтовані пояснення</w:t>
      </w:r>
      <w:r w:rsidR="00152355" w:rsidRPr="004A7976">
        <w:rPr>
          <w:bCs/>
        </w:rPr>
        <w:t>;</w:t>
      </w:r>
    </w:p>
    <w:p w:rsidR="00152355" w:rsidRDefault="00152355" w:rsidP="00152355">
      <w:pPr>
        <w:pStyle w:val="a3"/>
        <w:rPr>
          <w:lang w:val="uk-UA"/>
        </w:rPr>
      </w:pPr>
    </w:p>
    <w:p w:rsidR="001E5245" w:rsidRPr="001E5245" w:rsidRDefault="001E5245" w:rsidP="00010913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bCs/>
          <w:lang w:val="uk-UA"/>
        </w:rPr>
        <w:t>Рекомендувати г</w:t>
      </w:r>
      <w:r w:rsidR="00010913" w:rsidRPr="00010913">
        <w:rPr>
          <w:bCs/>
          <w:lang w:val="uk-UA"/>
        </w:rPr>
        <w:t xml:space="preserve">оловному фінансовому органу </w:t>
      </w:r>
      <w:r w:rsidRPr="001E5245">
        <w:rPr>
          <w:bCs/>
          <w:lang w:val="uk-UA"/>
        </w:rPr>
        <w:t xml:space="preserve">миколаївської міської ради </w:t>
      </w:r>
      <w:proofErr w:type="spellStart"/>
      <w:r w:rsidR="00010913" w:rsidRPr="00010913">
        <w:rPr>
          <w:bCs/>
          <w:lang w:val="uk-UA"/>
        </w:rPr>
        <w:t>ровести</w:t>
      </w:r>
      <w:proofErr w:type="spellEnd"/>
      <w:r w:rsidR="00010913" w:rsidRPr="00010913">
        <w:rPr>
          <w:bCs/>
          <w:lang w:val="uk-UA"/>
        </w:rPr>
        <w:t xml:space="preserve"> необхідну роз’яснювальну роботу серед </w:t>
      </w:r>
      <w:r>
        <w:rPr>
          <w:bCs/>
          <w:lang w:val="uk-UA"/>
        </w:rPr>
        <w:t>головних розпорядників бюджетних коштів (</w:t>
      </w:r>
      <w:r w:rsidR="00010913" w:rsidRPr="00010913">
        <w:rPr>
          <w:bCs/>
          <w:lang w:val="uk-UA"/>
        </w:rPr>
        <w:t>ГРБК</w:t>
      </w:r>
      <w:r>
        <w:rPr>
          <w:bCs/>
          <w:lang w:val="uk-UA"/>
        </w:rPr>
        <w:t>)</w:t>
      </w:r>
      <w:r w:rsidR="00010913" w:rsidRPr="00010913">
        <w:rPr>
          <w:bCs/>
          <w:lang w:val="uk-UA"/>
        </w:rPr>
        <w:t xml:space="preserve"> щодо дисципліни заповнення паспортів бюджетних програм та відповідальності ГРБК за порушення правил складання паспортів </w:t>
      </w:r>
      <w:r>
        <w:rPr>
          <w:bCs/>
          <w:lang w:val="uk-UA"/>
        </w:rPr>
        <w:t>бюджетних програм,</w:t>
      </w:r>
      <w:r w:rsidR="00010913" w:rsidRPr="00010913">
        <w:rPr>
          <w:bCs/>
          <w:lang w:val="uk-UA"/>
        </w:rPr>
        <w:t xml:space="preserve"> (</w:t>
      </w:r>
      <w:proofErr w:type="spellStart"/>
      <w:r w:rsidR="00010913" w:rsidRPr="00010913">
        <w:rPr>
          <w:bCs/>
          <w:lang w:val="uk-UA"/>
        </w:rPr>
        <w:t>ст</w:t>
      </w:r>
      <w:proofErr w:type="spellEnd"/>
      <w:r w:rsidR="00010913" w:rsidRPr="00010913">
        <w:rPr>
          <w:bCs/>
          <w:lang w:val="uk-UA"/>
        </w:rPr>
        <w:t xml:space="preserve"> 116, БКУ, Наказ МФУ 836). Ввести в практику узгодження паспортів </w:t>
      </w:r>
      <w:r>
        <w:rPr>
          <w:bCs/>
          <w:lang w:val="uk-UA"/>
        </w:rPr>
        <w:t>бюджетних програм (</w:t>
      </w:r>
      <w:r w:rsidR="00010913" w:rsidRPr="00010913">
        <w:rPr>
          <w:bCs/>
          <w:lang w:val="uk-UA"/>
        </w:rPr>
        <w:t>БП</w:t>
      </w:r>
      <w:r>
        <w:rPr>
          <w:bCs/>
          <w:lang w:val="uk-UA"/>
        </w:rPr>
        <w:t>)</w:t>
      </w:r>
      <w:r w:rsidR="00010913" w:rsidRPr="00010913">
        <w:rPr>
          <w:bCs/>
          <w:lang w:val="uk-UA"/>
        </w:rPr>
        <w:t xml:space="preserve"> тільки при дотриманні </w:t>
      </w:r>
      <w:r>
        <w:rPr>
          <w:bCs/>
          <w:lang w:val="uk-UA"/>
        </w:rPr>
        <w:t>ГРБК н</w:t>
      </w:r>
      <w:r w:rsidR="00010913" w:rsidRPr="00010913">
        <w:rPr>
          <w:bCs/>
          <w:lang w:val="uk-UA"/>
        </w:rPr>
        <w:t>орм, визначених бюджетним законодавством. При порушенні дисципліни заповнення паспортів</w:t>
      </w:r>
      <w:r>
        <w:rPr>
          <w:bCs/>
          <w:lang w:val="uk-UA"/>
        </w:rPr>
        <w:t xml:space="preserve"> БП</w:t>
      </w:r>
      <w:r w:rsidR="00010913" w:rsidRPr="00010913">
        <w:rPr>
          <w:bCs/>
          <w:lang w:val="uk-UA"/>
        </w:rPr>
        <w:t xml:space="preserve">, повертати їх ГРБК на доопрацювання. </w:t>
      </w:r>
    </w:p>
    <w:p w:rsidR="00010913" w:rsidRPr="00010913" w:rsidRDefault="001E5245" w:rsidP="001E5245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Cs/>
          <w:lang w:val="uk-UA"/>
        </w:rPr>
        <w:t>Рекомендувати виконавчому комітету миколаївської ради п</w:t>
      </w:r>
      <w:r w:rsidR="00010913" w:rsidRPr="00010913">
        <w:rPr>
          <w:bCs/>
          <w:lang w:val="uk-UA"/>
        </w:rPr>
        <w:t>рийняти необхідний пакет організаційно-розпорядчих документів щодо процедури та форм публічного щорічного представлення інформації про бюджет м. Миколаєва на відповідний рік за бюджетними програмами.</w:t>
      </w:r>
    </w:p>
    <w:p w:rsidR="00010913" w:rsidRPr="00010913" w:rsidRDefault="00010913" w:rsidP="000109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0913" w:rsidRPr="00010913" w:rsidRDefault="00010913" w:rsidP="0007566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10913" w:rsidRPr="00010913" w:rsidSect="0075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9A0"/>
    <w:multiLevelType w:val="hybridMultilevel"/>
    <w:tmpl w:val="ECD8CC50"/>
    <w:lvl w:ilvl="0" w:tplc="6D8AA43A">
      <w:start w:val="1"/>
      <w:numFmt w:val="decimal"/>
      <w:lvlText w:val="(%1)"/>
      <w:lvlJc w:val="left"/>
      <w:pPr>
        <w:ind w:left="190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2485C6E"/>
    <w:multiLevelType w:val="hybridMultilevel"/>
    <w:tmpl w:val="8042F452"/>
    <w:lvl w:ilvl="0" w:tplc="E0443F2A">
      <w:start w:val="1"/>
      <w:numFmt w:val="decimal"/>
      <w:lvlText w:val="%1."/>
      <w:lvlJc w:val="left"/>
      <w:pPr>
        <w:ind w:left="1377" w:hanging="8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C92EFF"/>
    <w:multiLevelType w:val="hybridMultilevel"/>
    <w:tmpl w:val="538EEED2"/>
    <w:lvl w:ilvl="0" w:tplc="A7529064">
      <w:start w:val="1"/>
      <w:numFmt w:val="decimal"/>
      <w:lvlText w:val="%1."/>
      <w:lvlJc w:val="left"/>
      <w:pPr>
        <w:ind w:left="16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B0EB1"/>
    <w:multiLevelType w:val="multilevel"/>
    <w:tmpl w:val="58B6D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7C1834"/>
    <w:multiLevelType w:val="hybridMultilevel"/>
    <w:tmpl w:val="A48638F8"/>
    <w:lvl w:ilvl="0" w:tplc="D97E6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770DC"/>
    <w:multiLevelType w:val="hybridMultilevel"/>
    <w:tmpl w:val="4CE67BD2"/>
    <w:lvl w:ilvl="0" w:tplc="A4141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10A2"/>
    <w:rsid w:val="00007CA7"/>
    <w:rsid w:val="00010913"/>
    <w:rsid w:val="000360A0"/>
    <w:rsid w:val="000747E7"/>
    <w:rsid w:val="00075667"/>
    <w:rsid w:val="000B4015"/>
    <w:rsid w:val="000C66DA"/>
    <w:rsid w:val="000D312B"/>
    <w:rsid w:val="000E7289"/>
    <w:rsid w:val="000F31A6"/>
    <w:rsid w:val="001110A2"/>
    <w:rsid w:val="00152355"/>
    <w:rsid w:val="001E5245"/>
    <w:rsid w:val="001F5EFA"/>
    <w:rsid w:val="002723B3"/>
    <w:rsid w:val="00462065"/>
    <w:rsid w:val="004A7976"/>
    <w:rsid w:val="004D3E71"/>
    <w:rsid w:val="00555731"/>
    <w:rsid w:val="00651290"/>
    <w:rsid w:val="006F6B5E"/>
    <w:rsid w:val="0074603D"/>
    <w:rsid w:val="0075224D"/>
    <w:rsid w:val="007712FE"/>
    <w:rsid w:val="00826191"/>
    <w:rsid w:val="00837975"/>
    <w:rsid w:val="008B7EFA"/>
    <w:rsid w:val="008D4D77"/>
    <w:rsid w:val="00956AFB"/>
    <w:rsid w:val="00A378C8"/>
    <w:rsid w:val="00A73FBB"/>
    <w:rsid w:val="00BE69D7"/>
    <w:rsid w:val="00C65785"/>
    <w:rsid w:val="00C917E6"/>
    <w:rsid w:val="00D522B4"/>
    <w:rsid w:val="00D606CB"/>
    <w:rsid w:val="00DA377C"/>
    <w:rsid w:val="00DB38DD"/>
    <w:rsid w:val="00DD071F"/>
    <w:rsid w:val="00DD4288"/>
    <w:rsid w:val="00E05AA3"/>
    <w:rsid w:val="00ED2679"/>
    <w:rsid w:val="00F026F3"/>
    <w:rsid w:val="00FD03D3"/>
    <w:rsid w:val="00F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2017-09-25T09:04:00Z</dcterms:created>
  <dcterms:modified xsi:type="dcterms:W3CDTF">2017-09-25T09:04:00Z</dcterms:modified>
</cp:coreProperties>
</file>