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6" w:rsidRPr="00CF0EA5" w:rsidRDefault="003A1166" w:rsidP="003A1166">
      <w:pPr>
        <w:pStyle w:val="a5"/>
        <w:widowControl/>
      </w:pPr>
      <w:r w:rsidRPr="00CF0EA5">
        <w:t xml:space="preserve">Аналітична довідка щодо результатів оцінки </w:t>
      </w:r>
      <w:r w:rsidRPr="00CF0EA5">
        <w:rPr>
          <w:rFonts w:eastAsia="+mj-ea"/>
        </w:rPr>
        <w:t>рівня доброчесності запровадження ПЦМ у місцевих бюджетах</w:t>
      </w:r>
      <w:r w:rsidRPr="00CF0EA5">
        <w:rPr>
          <w:bCs w:val="0"/>
        </w:rPr>
        <w:t xml:space="preserve"> (станом на 1.06.2017) по </w:t>
      </w:r>
      <w:r w:rsidR="00650B37">
        <w:t>сіль</w:t>
      </w:r>
      <w:r w:rsidRPr="00CF0EA5">
        <w:t>сько</w:t>
      </w:r>
      <w:r w:rsidR="001E6D29" w:rsidRPr="00CF0EA5">
        <w:t>му</w:t>
      </w:r>
      <w:r w:rsidRPr="00CF0EA5">
        <w:t xml:space="preserve">  бюджету </w:t>
      </w:r>
      <w:r w:rsidR="00650B37">
        <w:t>Присива</w:t>
      </w:r>
      <w:r w:rsidRPr="00CF0EA5">
        <w:t xml:space="preserve">ської </w:t>
      </w:r>
      <w:r w:rsidR="00650B37">
        <w:t>ОТГ</w:t>
      </w:r>
      <w:r w:rsidRPr="00CF0EA5">
        <w:t xml:space="preserve"> на 2017 рік</w:t>
      </w:r>
    </w:p>
    <w:p w:rsidR="003A1166" w:rsidRPr="00CF0EA5" w:rsidRDefault="003A1166" w:rsidP="003C37F5">
      <w:pPr>
        <w:spacing w:after="0" w:line="240" w:lineRule="auto"/>
        <w:jc w:val="center"/>
        <w:rPr>
          <w:rFonts w:ascii="Times New Roman" w:hAnsi="Times New Roman"/>
          <w:b/>
        </w:rPr>
      </w:pPr>
    </w:p>
    <w:p w:rsidR="003A1166" w:rsidRPr="00CF0EA5" w:rsidRDefault="003A1166" w:rsidP="003C37F5">
      <w:pPr>
        <w:spacing w:after="0" w:line="240" w:lineRule="auto"/>
        <w:jc w:val="center"/>
        <w:rPr>
          <w:rFonts w:ascii="Times New Roman" w:hAnsi="Times New Roman"/>
          <w:b/>
        </w:rPr>
      </w:pPr>
    </w:p>
    <w:p w:rsidR="003A1166" w:rsidRPr="00CF0EA5" w:rsidRDefault="003A1166" w:rsidP="003C37F5">
      <w:pPr>
        <w:spacing w:after="0" w:line="240" w:lineRule="auto"/>
        <w:jc w:val="center"/>
        <w:rPr>
          <w:rFonts w:ascii="Times New Roman" w:hAnsi="Times New Roman"/>
          <w:b/>
        </w:rPr>
      </w:pPr>
      <w:r w:rsidRPr="00CF0EA5">
        <w:rPr>
          <w:rFonts w:ascii="Times New Roman" w:hAnsi="Times New Roman"/>
          <w:b/>
        </w:rPr>
        <w:t xml:space="preserve">Преамбула. </w:t>
      </w:r>
    </w:p>
    <w:p w:rsidR="001E6D29" w:rsidRPr="00CF0EA5" w:rsidRDefault="001E6D29" w:rsidP="00C53AF5">
      <w:pPr>
        <w:spacing w:after="0" w:line="240" w:lineRule="auto"/>
        <w:jc w:val="both"/>
        <w:rPr>
          <w:rFonts w:ascii="Times New Roman" w:hAnsi="Times New Roman"/>
        </w:rPr>
      </w:pPr>
    </w:p>
    <w:p w:rsidR="001E6D29" w:rsidRPr="00CF0EA5" w:rsidRDefault="001E6D29" w:rsidP="003C37F5">
      <w:pPr>
        <w:spacing w:after="0" w:line="240" w:lineRule="auto"/>
        <w:jc w:val="center"/>
        <w:rPr>
          <w:rFonts w:ascii="Times New Roman" w:hAnsi="Times New Roman"/>
        </w:rPr>
      </w:pPr>
    </w:p>
    <w:p w:rsidR="00552B1A" w:rsidRDefault="001E6D29" w:rsidP="00C53AF5">
      <w:pPr>
        <w:pStyle w:val="a4"/>
        <w:numPr>
          <w:ilvl w:val="0"/>
          <w:numId w:val="3"/>
        </w:numPr>
        <w:spacing w:after="0" w:line="240" w:lineRule="auto"/>
        <w:ind w:left="0" w:hanging="284"/>
        <w:jc w:val="both"/>
        <w:rPr>
          <w:rFonts w:ascii="Times New Roman" w:hAnsi="Times New Roman"/>
        </w:rPr>
      </w:pPr>
      <w:r w:rsidRPr="00082B94">
        <w:rPr>
          <w:rFonts w:ascii="Times New Roman" w:hAnsi="Times New Roman"/>
        </w:rPr>
        <w:t xml:space="preserve">Інструкція </w:t>
      </w:r>
      <w:r w:rsidR="00811F9C" w:rsidRPr="00082B94">
        <w:rPr>
          <w:rFonts w:ascii="Times New Roman" w:hAnsi="Times New Roman"/>
        </w:rPr>
        <w:t xml:space="preserve">щодо заповнення форм бюджетного запиту міського бюджету на плановий рік та наступні за плановим два бюджетні періоди </w:t>
      </w:r>
      <w:r w:rsidR="00A14606">
        <w:rPr>
          <w:rFonts w:ascii="Times New Roman" w:hAnsi="Times New Roman"/>
        </w:rPr>
        <w:t>не надана</w:t>
      </w:r>
      <w:r w:rsidR="00FE7F6F">
        <w:rPr>
          <w:rFonts w:ascii="Times New Roman" w:hAnsi="Times New Roman"/>
        </w:rPr>
        <w:t>, усно проінформовано про її нестворення за відсутністю практичрної необхідності через нестворення запитів</w:t>
      </w:r>
      <w:r w:rsidR="00552B1A" w:rsidRPr="00082B94">
        <w:rPr>
          <w:rFonts w:ascii="Times New Roman" w:hAnsi="Times New Roman"/>
        </w:rPr>
        <w:t>.</w:t>
      </w:r>
    </w:p>
    <w:p w:rsidR="00D424AA" w:rsidRDefault="00D424AA" w:rsidP="00D424AA">
      <w:pPr>
        <w:pStyle w:val="a4"/>
        <w:spacing w:after="0" w:line="240" w:lineRule="auto"/>
        <w:ind w:left="0"/>
        <w:jc w:val="both"/>
        <w:rPr>
          <w:rFonts w:ascii="Times New Roman" w:hAnsi="Times New Roman"/>
        </w:rPr>
      </w:pPr>
    </w:p>
    <w:p w:rsidR="00CF0EA5" w:rsidRDefault="00FE7F6F" w:rsidP="00C53AF5">
      <w:pPr>
        <w:pStyle w:val="a4"/>
        <w:numPr>
          <w:ilvl w:val="0"/>
          <w:numId w:val="3"/>
        </w:numPr>
        <w:spacing w:after="0" w:line="240" w:lineRule="auto"/>
        <w:ind w:left="0" w:hanging="284"/>
        <w:jc w:val="both"/>
        <w:rPr>
          <w:rFonts w:ascii="Times New Roman" w:hAnsi="Times New Roman"/>
          <w:highlight w:val="yellow"/>
        </w:rPr>
      </w:pPr>
      <w:r>
        <w:rPr>
          <w:rFonts w:ascii="Times New Roman" w:hAnsi="Times New Roman"/>
        </w:rPr>
        <w:t xml:space="preserve">Розпорядженням Григорівського сільського голови від 20.02.17 № 10 затверджено 8 паспортів бюджетних програм. Єдиним розпорядником бюджетних коштів місцевого бюджету є Григорівська сільська рада. Фінансовий орган не створено. </w:t>
      </w:r>
    </w:p>
    <w:p w:rsidR="00D424AA" w:rsidRPr="00CF0EA5" w:rsidRDefault="00D424AA" w:rsidP="00D424AA">
      <w:pPr>
        <w:pStyle w:val="a4"/>
        <w:spacing w:after="0" w:line="240" w:lineRule="auto"/>
        <w:ind w:left="0"/>
        <w:jc w:val="both"/>
        <w:rPr>
          <w:rFonts w:ascii="Times New Roman" w:hAnsi="Times New Roman"/>
          <w:highlight w:val="yellow"/>
        </w:rPr>
      </w:pPr>
    </w:p>
    <w:p w:rsidR="00C74C8A" w:rsidRPr="00CF0EA5" w:rsidRDefault="00C74C8A" w:rsidP="00C53AF5">
      <w:pPr>
        <w:pStyle w:val="a4"/>
        <w:numPr>
          <w:ilvl w:val="0"/>
          <w:numId w:val="3"/>
        </w:numPr>
        <w:spacing w:after="0" w:line="240" w:lineRule="auto"/>
        <w:ind w:left="0" w:right="-85" w:hanging="284"/>
        <w:jc w:val="both"/>
        <w:rPr>
          <w:rFonts w:ascii="Times New Roman" w:hAnsi="Times New Roman"/>
        </w:rPr>
      </w:pPr>
      <w:r w:rsidRPr="00CF0EA5">
        <w:rPr>
          <w:rFonts w:ascii="Times New Roman" w:hAnsi="Times New Roman"/>
        </w:rPr>
        <w:t xml:space="preserve">При  оцінці </w:t>
      </w:r>
      <w:r w:rsidR="00CF0EA5" w:rsidRPr="00CF0EA5">
        <w:rPr>
          <w:rFonts w:ascii="Times New Roman" w:hAnsi="Times New Roman"/>
        </w:rPr>
        <w:t xml:space="preserve">паспортів бюджетних програм </w:t>
      </w:r>
      <w:r w:rsidRPr="00CF0EA5">
        <w:rPr>
          <w:rFonts w:ascii="Times New Roman" w:hAnsi="Times New Roman"/>
        </w:rPr>
        <w:t>особливу увагу приділ</w:t>
      </w:r>
      <w:r w:rsidR="007A2E64" w:rsidRPr="00CF0EA5">
        <w:rPr>
          <w:rFonts w:ascii="Times New Roman" w:hAnsi="Times New Roman"/>
        </w:rPr>
        <w:t xml:space="preserve">ено </w:t>
      </w:r>
      <w:r w:rsidRPr="00CF0EA5">
        <w:rPr>
          <w:rFonts w:ascii="Times New Roman" w:hAnsi="Times New Roman"/>
        </w:rPr>
        <w:t>дисципліні заповнення ГБРК</w:t>
      </w:r>
      <w:r w:rsidR="00CF0EA5">
        <w:rPr>
          <w:rFonts w:ascii="Times New Roman" w:hAnsi="Times New Roman"/>
        </w:rPr>
        <w:t xml:space="preserve"> розділу</w:t>
      </w:r>
      <w:r w:rsidRPr="00CF0EA5">
        <w:rPr>
          <w:rFonts w:ascii="Times New Roman" w:hAnsi="Times New Roman"/>
        </w:rPr>
        <w:t xml:space="preserve"> «Результативні показники»</w:t>
      </w:r>
      <w:r w:rsidR="00CF0EA5">
        <w:rPr>
          <w:rFonts w:ascii="Times New Roman" w:hAnsi="Times New Roman"/>
        </w:rPr>
        <w:t xml:space="preserve"> (таблиця 7 ПБП)</w:t>
      </w:r>
      <w:r w:rsidRPr="00CF0EA5">
        <w:rPr>
          <w:rFonts w:ascii="Times New Roman" w:hAnsi="Times New Roman"/>
        </w:rPr>
        <w:t>. Пакет результативних показників:</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ключовим інструментом механізму планування і виконання бюджету за програмно-цільовим методом,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основною характерною рисою ПЦМ,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втілюють вихідним складову програмно-цільового бюджету,</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є своєрідним індикатором, всебічно ілюструє успішність виконання програми,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 вимірювані і підлягають кількісному визначенню.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При заповненні таблиці </w:t>
      </w:r>
      <w:r w:rsidR="00CF0EA5" w:rsidRPr="00CF0EA5">
        <w:rPr>
          <w:rFonts w:ascii="Times New Roman" w:hAnsi="Times New Roman"/>
          <w:sz w:val="24"/>
          <w:szCs w:val="24"/>
        </w:rPr>
        <w:t>результативних</w:t>
      </w:r>
      <w:r w:rsidRPr="00CF0EA5">
        <w:rPr>
          <w:rFonts w:ascii="Times New Roman" w:hAnsi="Times New Roman"/>
          <w:sz w:val="24"/>
          <w:szCs w:val="24"/>
        </w:rPr>
        <w:t xml:space="preserve">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Прицьому</w:t>
      </w:r>
      <w:r w:rsidR="007A2E64" w:rsidRPr="00CF0EA5">
        <w:rPr>
          <w:rFonts w:ascii="Times New Roman" w:hAnsi="Times New Roman"/>
          <w:sz w:val="24"/>
          <w:szCs w:val="24"/>
        </w:rPr>
        <w:t xml:space="preserve"> ГРБК </w:t>
      </w:r>
      <w:r w:rsidRPr="00CF0EA5">
        <w:rPr>
          <w:rFonts w:ascii="Times New Roman" w:hAnsi="Times New Roman"/>
          <w:sz w:val="24"/>
          <w:szCs w:val="24"/>
        </w:rPr>
        <w:t xml:space="preserve"> має бути надано відповідне пояснення щодо застосування неповного пакету показників. </w:t>
      </w:r>
      <w:r w:rsidR="00CF0EA5" w:rsidRPr="00CF0EA5">
        <w:rPr>
          <w:rFonts w:ascii="Times New Roman" w:hAnsi="Times New Roman"/>
          <w:sz w:val="24"/>
          <w:szCs w:val="24"/>
        </w:rPr>
        <w:t>Ґрунтуючись</w:t>
      </w:r>
      <w:r w:rsidRPr="00CF0EA5">
        <w:rPr>
          <w:rFonts w:ascii="Times New Roman" w:hAnsi="Times New Roman"/>
          <w:sz w:val="24"/>
          <w:szCs w:val="24"/>
        </w:rPr>
        <w:t xml:space="preserve"> на основних принципах запровадження ПЦМ в бюджетному процесі місцевих бюджетів  оцінює</w:t>
      </w:r>
      <w:r w:rsidR="00CF0EA5" w:rsidRPr="00CF0EA5">
        <w:rPr>
          <w:rFonts w:ascii="Times New Roman" w:hAnsi="Times New Roman"/>
          <w:sz w:val="24"/>
          <w:szCs w:val="24"/>
        </w:rPr>
        <w:t>ться</w:t>
      </w:r>
      <w:r w:rsidRPr="00CF0EA5">
        <w:rPr>
          <w:rFonts w:ascii="Times New Roman" w:hAnsi="Times New Roman"/>
          <w:sz w:val="24"/>
          <w:szCs w:val="24"/>
        </w:rPr>
        <w:t xml:space="preserve"> означений нижче факт:</w:t>
      </w:r>
    </w:p>
    <w:p w:rsidR="00C74C8A" w:rsidRPr="00CF0EA5" w:rsidRDefault="00CF0EA5" w:rsidP="00C53AF5">
      <w:pPr>
        <w:pStyle w:val="a3"/>
        <w:spacing w:before="0" w:beforeAutospacing="0" w:after="0" w:afterAutospacing="0" w:line="276" w:lineRule="auto"/>
        <w:jc w:val="both"/>
      </w:pPr>
      <w:r w:rsidRPr="00CF0EA5">
        <w:t>- з</w:t>
      </w:r>
      <w:r w:rsidR="00C74C8A" w:rsidRPr="00CF0EA5">
        <w:t>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74C8A" w:rsidRPr="00CF0EA5" w:rsidRDefault="00C74C8A" w:rsidP="00C53AF5">
      <w:pPr>
        <w:pStyle w:val="a3"/>
        <w:spacing w:before="0" w:beforeAutospacing="0" w:after="0" w:afterAutospacing="0" w:line="276" w:lineRule="auto"/>
        <w:jc w:val="both"/>
      </w:pPr>
      <w:r w:rsidRPr="00CF0EA5">
        <w:t>- назву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мету бюджетної програми;</w:t>
      </w:r>
    </w:p>
    <w:p w:rsidR="00C74C8A" w:rsidRPr="00CF0EA5" w:rsidRDefault="00C74C8A" w:rsidP="00C53AF5">
      <w:pPr>
        <w:pStyle w:val="a3"/>
        <w:spacing w:before="0" w:beforeAutospacing="0" w:after="0" w:afterAutospacing="0" w:line="276" w:lineRule="auto"/>
        <w:jc w:val="both"/>
      </w:pPr>
      <w:r w:rsidRPr="00CF0EA5">
        <w:t>- завдання (одне або декілька)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результативні показники виконання бюджетної програми/підпрограми (затрат, продукту, ефективності, якості).</w:t>
      </w:r>
    </w:p>
    <w:p w:rsidR="00C74C8A" w:rsidRPr="00CF0EA5" w:rsidRDefault="00C74C8A" w:rsidP="00C53AF5">
      <w:pPr>
        <w:pStyle w:val="a3"/>
        <w:spacing w:before="0" w:beforeAutospacing="0" w:after="0" w:afterAutospacing="0"/>
        <w:jc w:val="both"/>
      </w:pPr>
      <w:r w:rsidRPr="00CF0EA5">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(підпрограми).Водночас перелік завдань та результативних показників може бути уточнений і розширений.</w:t>
      </w:r>
    </w:p>
    <w:p w:rsidR="00552B1A" w:rsidRDefault="00552B1A" w:rsidP="00C53AF5">
      <w:pPr>
        <w:pStyle w:val="a4"/>
        <w:spacing w:after="0" w:line="240" w:lineRule="auto"/>
        <w:jc w:val="both"/>
        <w:rPr>
          <w:rFonts w:ascii="Times New Roman" w:hAnsi="Times New Roman"/>
        </w:rPr>
      </w:pPr>
    </w:p>
    <w:p w:rsidR="00C74C8A" w:rsidRDefault="00CF0EA5" w:rsidP="00C53AF5">
      <w:pPr>
        <w:pStyle w:val="a4"/>
        <w:spacing w:after="0" w:line="240" w:lineRule="auto"/>
        <w:ind w:left="0"/>
        <w:jc w:val="both"/>
        <w:rPr>
          <w:rFonts w:ascii="Times New Roman" w:hAnsi="Times New Roman"/>
        </w:rPr>
      </w:pPr>
      <w:r>
        <w:rPr>
          <w:rFonts w:ascii="Times New Roman" w:hAnsi="Times New Roman"/>
        </w:rPr>
        <w:t xml:space="preserve">Аналізуючи дисципліну складання паспортів бюджетних програм по ГРБК місцевого </w:t>
      </w:r>
      <w:r w:rsidR="003C47BC">
        <w:rPr>
          <w:rFonts w:ascii="Times New Roman" w:hAnsi="Times New Roman"/>
        </w:rPr>
        <w:t xml:space="preserve">бюджету </w:t>
      </w:r>
      <w:r w:rsidR="00FE7F6F">
        <w:rPr>
          <w:rFonts w:ascii="Times New Roman" w:hAnsi="Times New Roman"/>
        </w:rPr>
        <w:t xml:space="preserve">Присиваської об’єднаної громади, </w:t>
      </w:r>
      <w:r>
        <w:rPr>
          <w:rFonts w:ascii="Times New Roman" w:hAnsi="Times New Roman"/>
        </w:rPr>
        <w:t xml:space="preserve"> можна констатувати наступне:</w:t>
      </w:r>
    </w:p>
    <w:p w:rsidR="00FE7F6F" w:rsidRDefault="00FE7F6F" w:rsidP="00C53AF5">
      <w:pPr>
        <w:pStyle w:val="a4"/>
        <w:spacing w:after="0" w:line="240" w:lineRule="auto"/>
        <w:ind w:left="0"/>
        <w:jc w:val="both"/>
        <w:rPr>
          <w:rFonts w:ascii="Times New Roman" w:hAnsi="Times New Roman"/>
        </w:rPr>
      </w:pPr>
    </w:p>
    <w:p w:rsidR="00FE7F6F" w:rsidRPr="004E1D7F" w:rsidRDefault="00FE7F6F" w:rsidP="00C53AF5">
      <w:pPr>
        <w:pStyle w:val="a4"/>
        <w:numPr>
          <w:ilvl w:val="0"/>
          <w:numId w:val="5"/>
        </w:numPr>
        <w:spacing w:after="0" w:line="240" w:lineRule="auto"/>
        <w:ind w:left="284" w:firstLine="0"/>
        <w:jc w:val="both"/>
        <w:rPr>
          <w:rFonts w:ascii="Times New Roman" w:hAnsi="Times New Roman"/>
        </w:rPr>
      </w:pPr>
      <w:r w:rsidRPr="004E1D7F">
        <w:rPr>
          <w:rFonts w:ascii="Times New Roman" w:hAnsi="Times New Roman"/>
        </w:rPr>
        <w:t xml:space="preserve">Паспорти створюються бухгалтерами під відповідальність сільського голови, в межах їх власних знань щодо предмету та рівня комунікацій з фактичними одержувачами коштів. </w:t>
      </w:r>
    </w:p>
    <w:p w:rsidR="00FE7F6F" w:rsidRPr="00FE7F6F" w:rsidRDefault="00FE7F6F" w:rsidP="00FE7F6F">
      <w:pPr>
        <w:spacing w:after="0" w:line="240" w:lineRule="auto"/>
        <w:ind w:left="284"/>
        <w:jc w:val="both"/>
        <w:rPr>
          <w:rFonts w:ascii="Times New Roman" w:hAnsi="Times New Roman"/>
          <w:i/>
        </w:rPr>
      </w:pPr>
    </w:p>
    <w:p w:rsidR="006014FB" w:rsidRPr="00F9593C" w:rsidRDefault="00A20BD4" w:rsidP="00C53AF5">
      <w:pPr>
        <w:pStyle w:val="a4"/>
        <w:numPr>
          <w:ilvl w:val="0"/>
          <w:numId w:val="5"/>
        </w:numPr>
        <w:spacing w:after="0" w:line="240" w:lineRule="auto"/>
        <w:ind w:left="284" w:firstLine="0"/>
        <w:jc w:val="both"/>
        <w:rPr>
          <w:rFonts w:ascii="Times New Roman" w:hAnsi="Times New Roman"/>
          <w:i/>
        </w:rPr>
      </w:pPr>
      <w:r>
        <w:rPr>
          <w:rFonts w:ascii="Times New Roman" w:hAnsi="Times New Roman"/>
          <w:lang w:val="ru-RU"/>
        </w:rPr>
        <w:t>я</w:t>
      </w:r>
      <w:r w:rsidR="00F9593C">
        <w:rPr>
          <w:rFonts w:ascii="Times New Roman" w:hAnsi="Times New Roman"/>
        </w:rPr>
        <w:t>кіст</w:t>
      </w:r>
      <w:r>
        <w:rPr>
          <w:rFonts w:ascii="Times New Roman" w:hAnsi="Times New Roman"/>
          <w:lang w:val="ru-RU"/>
        </w:rPr>
        <w:t>ь</w:t>
      </w:r>
      <w:r w:rsidR="00F9593C">
        <w:rPr>
          <w:rFonts w:ascii="Times New Roman" w:hAnsi="Times New Roman"/>
        </w:rPr>
        <w:t xml:space="preserve"> заповнення ПБП за власними повноваженнями</w:t>
      </w:r>
      <w:r>
        <w:rPr>
          <w:rFonts w:ascii="Times New Roman" w:hAnsi="Times New Roman"/>
          <w:lang w:val="ru-RU"/>
        </w:rPr>
        <w:t xml:space="preserve">є </w:t>
      </w:r>
      <w:r w:rsidRPr="00A20BD4">
        <w:rPr>
          <w:rFonts w:ascii="Times New Roman" w:hAnsi="Times New Roman"/>
        </w:rPr>
        <w:t xml:space="preserve">набагато </w:t>
      </w:r>
      <w:r w:rsidR="00FF2360">
        <w:rPr>
          <w:rFonts w:ascii="Times New Roman" w:hAnsi="Times New Roman"/>
        </w:rPr>
        <w:t>гірш</w:t>
      </w:r>
      <w:r w:rsidRPr="00A20BD4">
        <w:rPr>
          <w:rFonts w:ascii="Times New Roman" w:hAnsi="Times New Roman"/>
        </w:rPr>
        <w:t>ою</w:t>
      </w:r>
      <w:r>
        <w:rPr>
          <w:rFonts w:ascii="Times New Roman" w:hAnsi="Times New Roman"/>
        </w:rPr>
        <w:t xml:space="preserve">, ніж у ПБП </w:t>
      </w:r>
      <w:r>
        <w:rPr>
          <w:rFonts w:ascii="Times New Roman" w:hAnsi="Times New Roman"/>
          <w:lang w:val="ru-RU"/>
        </w:rPr>
        <w:t>за</w:t>
      </w:r>
      <w:r>
        <w:rPr>
          <w:rFonts w:ascii="Times New Roman" w:hAnsi="Times New Roman"/>
        </w:rPr>
        <w:t xml:space="preserve"> делегованими повноваженнями</w:t>
      </w:r>
      <w:r w:rsidR="00661772">
        <w:rPr>
          <w:rFonts w:ascii="Times New Roman" w:hAnsi="Times New Roman"/>
        </w:rPr>
        <w:t xml:space="preserve"> (</w:t>
      </w:r>
      <w:r w:rsidR="00F9593C">
        <w:rPr>
          <w:rFonts w:ascii="Times New Roman" w:hAnsi="Times New Roman"/>
        </w:rPr>
        <w:t xml:space="preserve">.  </w:t>
      </w:r>
      <w:r w:rsidR="00FF2360">
        <w:rPr>
          <w:rFonts w:ascii="Times New Roman" w:hAnsi="Times New Roman"/>
        </w:rPr>
        <w:t>Практично нульові результати спостер</w:t>
      </w:r>
      <w:r w:rsidR="00661772">
        <w:rPr>
          <w:rFonts w:ascii="Times New Roman" w:hAnsi="Times New Roman"/>
        </w:rPr>
        <w:t>ігаються у програмах галузі ЖКГ</w:t>
      </w:r>
      <w:r>
        <w:rPr>
          <w:rFonts w:ascii="Times New Roman" w:hAnsi="Times New Roman"/>
        </w:rPr>
        <w:t>.</w:t>
      </w:r>
      <w:r w:rsidR="00FF2360">
        <w:rPr>
          <w:rFonts w:ascii="Times New Roman" w:hAnsi="Times New Roman"/>
        </w:rPr>
        <w:t xml:space="preserve"> Решта помилок в більшості </w:t>
      </w:r>
      <w:r w:rsidR="00FE7F6F">
        <w:rPr>
          <w:rFonts w:ascii="Times New Roman" w:hAnsi="Times New Roman"/>
        </w:rPr>
        <w:t>пов’язана</w:t>
      </w:r>
      <w:r w:rsidR="00FF2360">
        <w:rPr>
          <w:rFonts w:ascii="Times New Roman" w:hAnsi="Times New Roman"/>
        </w:rPr>
        <w:t xml:space="preserve"> з </w:t>
      </w:r>
      <w:r w:rsidR="00661772">
        <w:rPr>
          <w:rFonts w:ascii="Times New Roman" w:hAnsi="Times New Roman"/>
        </w:rPr>
        <w:t xml:space="preserve">елементарним браком знань і досвіду у </w:t>
      </w:r>
      <w:r w:rsidR="00661772">
        <w:rPr>
          <w:rFonts w:ascii="Times New Roman" w:hAnsi="Times New Roman"/>
        </w:rPr>
        <w:lastRenderedPageBreak/>
        <w:t xml:space="preserve">розробників, а також відсутністю відповідальності за ними, оскільки за обраної мінімалістичної схеми вона цілком покладається особисто на сільського голову. </w:t>
      </w:r>
      <w:r w:rsidR="002D7534">
        <w:rPr>
          <w:rFonts w:ascii="Times New Roman" w:hAnsi="Times New Roman"/>
        </w:rPr>
        <w:t xml:space="preserve">Разом з тим, повне ігнорування вимог закону щодо оприлюднення прогнозів, </w:t>
      </w:r>
      <w:r w:rsidR="00661772">
        <w:rPr>
          <w:rFonts w:ascii="Times New Roman" w:hAnsi="Times New Roman"/>
        </w:rPr>
        <w:t xml:space="preserve">створення запитів, </w:t>
      </w:r>
      <w:r w:rsidR="002D7534">
        <w:rPr>
          <w:rFonts w:ascii="Times New Roman" w:hAnsi="Times New Roman"/>
        </w:rPr>
        <w:t xml:space="preserve">публічного представлення паспортів, та складання інструкцій по заповненню БЗ, свідчить про провінційну </w:t>
      </w:r>
      <w:r w:rsidR="00661772">
        <w:rPr>
          <w:rFonts w:ascii="Times New Roman" w:hAnsi="Times New Roman"/>
        </w:rPr>
        <w:t>необізнан</w:t>
      </w:r>
      <w:r w:rsidR="002D7534">
        <w:rPr>
          <w:rFonts w:ascii="Times New Roman" w:hAnsi="Times New Roman"/>
        </w:rPr>
        <w:t xml:space="preserve">ість </w:t>
      </w:r>
      <w:r w:rsidR="00661772">
        <w:rPr>
          <w:rFonts w:ascii="Times New Roman" w:hAnsi="Times New Roman"/>
        </w:rPr>
        <w:t>апарату управління громади</w:t>
      </w:r>
      <w:r w:rsidR="002D7534">
        <w:rPr>
          <w:rFonts w:ascii="Times New Roman" w:hAnsi="Times New Roman"/>
        </w:rPr>
        <w:t xml:space="preserve"> в довгому ланцюгу ОМС від столиці до сі</w:t>
      </w:r>
      <w:r w:rsidR="00661772">
        <w:rPr>
          <w:rFonts w:ascii="Times New Roman" w:hAnsi="Times New Roman"/>
        </w:rPr>
        <w:t>льських рад – чим далі на периферію</w:t>
      </w:r>
      <w:r w:rsidR="002D7534">
        <w:rPr>
          <w:rFonts w:ascii="Times New Roman" w:hAnsi="Times New Roman"/>
        </w:rPr>
        <w:t>, тим гірше виконання нормативної бази за формальними ознаками</w:t>
      </w:r>
      <w:r w:rsidR="00661772">
        <w:rPr>
          <w:rFonts w:ascii="Times New Roman" w:hAnsi="Times New Roman"/>
        </w:rPr>
        <w:t xml:space="preserve">. Критично недостатнім є рівень навчання ПЦМ з боку відповідальних державних органів, передусім, ДКНС, якому таке навчання не втілили в обов’язок. Також, спостерігається пересторога проти створення нових розпорядників в ОТГ, оскільки майбутня економія на управлінських послугах була одним із гасел добровільного об’єднання громад. </w:t>
      </w:r>
    </w:p>
    <w:p w:rsidR="0078510D" w:rsidRDefault="0078510D" w:rsidP="00C53AF5">
      <w:pPr>
        <w:pStyle w:val="a4"/>
        <w:spacing w:after="0" w:line="240" w:lineRule="auto"/>
        <w:ind w:left="284"/>
        <w:jc w:val="both"/>
        <w:rPr>
          <w:rFonts w:ascii="Times New Roman" w:hAnsi="Times New Roman"/>
        </w:rPr>
      </w:pPr>
    </w:p>
    <w:p w:rsidR="00661772" w:rsidRDefault="0078510D" w:rsidP="00661772">
      <w:pPr>
        <w:pStyle w:val="a4"/>
        <w:spacing w:after="0" w:line="240" w:lineRule="auto"/>
        <w:ind w:left="284"/>
        <w:jc w:val="both"/>
        <w:rPr>
          <w:rFonts w:ascii="Times New Roman" w:hAnsi="Times New Roman"/>
        </w:rPr>
      </w:pPr>
      <w:r>
        <w:rPr>
          <w:rFonts w:ascii="Times New Roman" w:hAnsi="Times New Roman"/>
        </w:rPr>
        <w:t xml:space="preserve">Разом </w:t>
      </w:r>
      <w:r w:rsidR="00661772">
        <w:rPr>
          <w:rFonts w:ascii="Times New Roman" w:hAnsi="Times New Roman"/>
        </w:rPr>
        <w:t>умовно «</w:t>
      </w:r>
      <w:r>
        <w:rPr>
          <w:rFonts w:ascii="Times New Roman" w:hAnsi="Times New Roman"/>
        </w:rPr>
        <w:t>опубліковано</w:t>
      </w:r>
      <w:r w:rsidR="00661772">
        <w:rPr>
          <w:rFonts w:ascii="Times New Roman" w:hAnsi="Times New Roman"/>
        </w:rPr>
        <w:t>»8</w:t>
      </w:r>
      <w:r>
        <w:rPr>
          <w:rFonts w:ascii="Times New Roman" w:hAnsi="Times New Roman"/>
        </w:rPr>
        <w:t xml:space="preserve"> ПБП з </w:t>
      </w:r>
      <w:r w:rsidR="00BC1018">
        <w:rPr>
          <w:rFonts w:ascii="Times New Roman" w:hAnsi="Times New Roman"/>
        </w:rPr>
        <w:t>8</w:t>
      </w:r>
      <w:r w:rsidR="00661772">
        <w:rPr>
          <w:rFonts w:ascii="Times New Roman" w:hAnsi="Times New Roman"/>
        </w:rPr>
        <w:t xml:space="preserve"> (сайт громади на час проведення дослідження не підтримувався і не надавав доступу). Тому паспорти було взято на місці на магнітному носії. </w:t>
      </w:r>
    </w:p>
    <w:p w:rsidR="00661772" w:rsidRDefault="00661772" w:rsidP="00661772">
      <w:pPr>
        <w:pStyle w:val="a4"/>
        <w:spacing w:after="0" w:line="240" w:lineRule="auto"/>
        <w:ind w:left="284"/>
        <w:jc w:val="both"/>
        <w:rPr>
          <w:rFonts w:ascii="Times New Roman" w:hAnsi="Times New Roman"/>
        </w:rPr>
      </w:pPr>
    </w:p>
    <w:p w:rsidR="0078510D" w:rsidRDefault="00661772" w:rsidP="00661772">
      <w:pPr>
        <w:pStyle w:val="a4"/>
        <w:spacing w:after="0" w:line="240" w:lineRule="auto"/>
        <w:ind w:left="284"/>
        <w:jc w:val="both"/>
        <w:rPr>
          <w:rFonts w:ascii="Times New Roman" w:hAnsi="Times New Roman"/>
        </w:rPr>
      </w:pPr>
      <w:r>
        <w:rPr>
          <w:rFonts w:ascii="Times New Roman" w:hAnsi="Times New Roman"/>
        </w:rPr>
        <w:t xml:space="preserve">За відсутністю БЗІ, мова про обрахунок відхилень їх від ПБП не ведеться. </w:t>
      </w:r>
    </w:p>
    <w:p w:rsidR="00C53AF5" w:rsidRPr="006014FB" w:rsidRDefault="00C53AF5" w:rsidP="00C53AF5">
      <w:pPr>
        <w:pStyle w:val="a4"/>
        <w:spacing w:after="0" w:line="240" w:lineRule="auto"/>
        <w:ind w:left="284"/>
        <w:jc w:val="both"/>
        <w:rPr>
          <w:rFonts w:ascii="Times New Roman" w:hAnsi="Times New Roman"/>
          <w:i/>
        </w:rPr>
      </w:pPr>
    </w:p>
    <w:p w:rsidR="006014FB" w:rsidRPr="00082B94" w:rsidRDefault="006014FB" w:rsidP="00C53AF5">
      <w:pPr>
        <w:pStyle w:val="a4"/>
        <w:spacing w:after="0" w:line="240" w:lineRule="auto"/>
        <w:ind w:left="1080"/>
        <w:jc w:val="both"/>
        <w:rPr>
          <w:rFonts w:ascii="Times New Roman" w:hAnsi="Times New Roman"/>
        </w:rPr>
      </w:pPr>
    </w:p>
    <w:p w:rsidR="00BB1555" w:rsidRPr="000D089D" w:rsidRDefault="00BB1555" w:rsidP="00C869A3">
      <w:pPr>
        <w:pStyle w:val="a4"/>
        <w:numPr>
          <w:ilvl w:val="0"/>
          <w:numId w:val="3"/>
        </w:numPr>
        <w:spacing w:after="0" w:line="240" w:lineRule="auto"/>
        <w:jc w:val="both"/>
        <w:rPr>
          <w:rFonts w:ascii="Times New Roman" w:hAnsi="Times New Roman"/>
          <w:lang w:eastAsia="uk-UA"/>
        </w:rPr>
      </w:pPr>
      <w:r w:rsidRPr="00082B94">
        <w:rPr>
          <w:rFonts w:ascii="Times New Roman" w:hAnsi="Times New Roman"/>
          <w:lang w:eastAsia="uk-UA"/>
        </w:rPr>
        <w:t xml:space="preserve">Публічного представлення </w:t>
      </w:r>
      <w:r w:rsidRPr="00082B94">
        <w:rPr>
          <w:rFonts w:ascii="Times New Roman" w:hAnsi="Times New Roman"/>
          <w:color w:val="000000"/>
        </w:rPr>
        <w:t xml:space="preserve">інформації про бюджет за бюджетними програмами та показниками, </w:t>
      </w:r>
      <w:r w:rsidRPr="00082B94">
        <w:rPr>
          <w:rFonts w:ascii="Times New Roman" w:hAnsi="Times New Roman"/>
          <w:color w:val="000000"/>
          <w:shd w:val="clear" w:color="auto" w:fill="FFFFFF"/>
        </w:rPr>
        <w:t>бюджетні призначення щодо яких визначені рішенням про місцевий бюджет, відповідно до вимог та за формою, встановленими Міністерством фінансів України, до 15 березня року, що настає за звітним</w:t>
      </w:r>
      <w:r w:rsidR="0078510D">
        <w:rPr>
          <w:rFonts w:ascii="Times New Roman" w:hAnsi="Times New Roman"/>
          <w:color w:val="000000"/>
          <w:shd w:val="clear" w:color="auto" w:fill="FFFFFF"/>
        </w:rPr>
        <w:t>,</w:t>
      </w:r>
      <w:r w:rsidRPr="00082B94">
        <w:rPr>
          <w:rFonts w:ascii="Times New Roman" w:hAnsi="Times New Roman"/>
          <w:color w:val="000000"/>
          <w:shd w:val="clear" w:color="auto" w:fill="FFFFFF"/>
        </w:rPr>
        <w:t xml:space="preserve"> не відбулось.</w:t>
      </w:r>
    </w:p>
    <w:p w:rsidR="000D089D" w:rsidRPr="00082B94" w:rsidRDefault="000D089D" w:rsidP="000D089D">
      <w:pPr>
        <w:pStyle w:val="a4"/>
        <w:spacing w:after="0" w:line="240" w:lineRule="auto"/>
        <w:ind w:left="360"/>
        <w:jc w:val="both"/>
        <w:rPr>
          <w:rFonts w:ascii="Times New Roman" w:hAnsi="Times New Roman"/>
          <w:lang w:eastAsia="uk-UA"/>
        </w:rPr>
      </w:pPr>
    </w:p>
    <w:p w:rsidR="001E6D29" w:rsidRPr="00082B94" w:rsidRDefault="00BB1555" w:rsidP="00C869A3">
      <w:pPr>
        <w:pStyle w:val="a4"/>
        <w:numPr>
          <w:ilvl w:val="0"/>
          <w:numId w:val="3"/>
        </w:numPr>
        <w:spacing w:after="0" w:line="240" w:lineRule="auto"/>
        <w:jc w:val="both"/>
        <w:rPr>
          <w:rFonts w:ascii="Times New Roman" w:hAnsi="Times New Roman"/>
        </w:rPr>
      </w:pPr>
      <w:r w:rsidRPr="00082B94">
        <w:rPr>
          <w:rFonts w:ascii="Times New Roman" w:hAnsi="Times New Roman"/>
        </w:rPr>
        <w:t xml:space="preserve">Прогноз бюджету на наступні за плановим 2018-2019р </w:t>
      </w:r>
      <w:r w:rsidR="00FD78F9">
        <w:rPr>
          <w:rFonts w:ascii="Times New Roman" w:hAnsi="Times New Roman"/>
        </w:rPr>
        <w:t xml:space="preserve">не надано, і проінформовано про його </w:t>
      </w:r>
      <w:r w:rsidR="004E1D7F">
        <w:rPr>
          <w:rFonts w:ascii="Times New Roman" w:hAnsi="Times New Roman"/>
        </w:rPr>
        <w:t>відсутність як такого</w:t>
      </w:r>
      <w:r w:rsidR="0078510D">
        <w:rPr>
          <w:rFonts w:ascii="Times New Roman" w:hAnsi="Times New Roman"/>
        </w:rPr>
        <w:t>.</w:t>
      </w:r>
    </w:p>
    <w:p w:rsidR="00811F9C" w:rsidRPr="00082B94" w:rsidRDefault="00811F9C" w:rsidP="00C869A3">
      <w:pPr>
        <w:spacing w:after="0" w:line="240" w:lineRule="auto"/>
        <w:jc w:val="both"/>
        <w:rPr>
          <w:rFonts w:ascii="Times New Roman" w:hAnsi="Times New Roman"/>
        </w:rPr>
      </w:pPr>
    </w:p>
    <w:p w:rsidR="00811F9C" w:rsidRDefault="00811F9C"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892DB7" w:rsidRDefault="00892DB7" w:rsidP="00C869A3">
      <w:pPr>
        <w:spacing w:after="0" w:line="240" w:lineRule="auto"/>
        <w:jc w:val="both"/>
        <w:rPr>
          <w:rFonts w:ascii="Times New Roman" w:hAnsi="Times New Roman"/>
        </w:rPr>
      </w:pPr>
    </w:p>
    <w:p w:rsidR="00892DB7" w:rsidRDefault="00892DB7"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Pr="00CF0EA5" w:rsidRDefault="00611373" w:rsidP="00C869A3">
      <w:pPr>
        <w:spacing w:after="0" w:line="240" w:lineRule="auto"/>
        <w:jc w:val="both"/>
        <w:rPr>
          <w:rFonts w:ascii="Times New Roman" w:hAnsi="Times New Roman"/>
        </w:rPr>
      </w:pPr>
    </w:p>
    <w:p w:rsidR="00811F9C" w:rsidRPr="00CF0EA5" w:rsidRDefault="00811F9C" w:rsidP="00C869A3">
      <w:pPr>
        <w:spacing w:after="0" w:line="240" w:lineRule="auto"/>
        <w:jc w:val="both"/>
        <w:rPr>
          <w:rFonts w:ascii="Times New Roman" w:hAnsi="Times New Roman"/>
        </w:rPr>
      </w:pPr>
    </w:p>
    <w:p w:rsidR="00892DB7" w:rsidRDefault="00892DB7" w:rsidP="00C869A3">
      <w:pPr>
        <w:spacing w:after="0" w:line="240" w:lineRule="auto"/>
        <w:jc w:val="center"/>
        <w:rPr>
          <w:rFonts w:ascii="Times New Roman" w:hAnsi="Times New Roman"/>
          <w:b/>
        </w:rPr>
      </w:pPr>
    </w:p>
    <w:p w:rsidR="00892DB7" w:rsidRDefault="00892DB7"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bookmarkStart w:id="0" w:name="_GoBack"/>
      <w:bookmarkEnd w:id="0"/>
    </w:p>
    <w:p w:rsidR="00650B37" w:rsidRDefault="00650B37" w:rsidP="00C869A3">
      <w:pPr>
        <w:spacing w:after="0" w:line="240" w:lineRule="auto"/>
        <w:jc w:val="center"/>
        <w:rPr>
          <w:rFonts w:ascii="Times New Roman" w:hAnsi="Times New Roman"/>
          <w:b/>
        </w:rPr>
      </w:pPr>
    </w:p>
    <w:p w:rsidR="00892DB7" w:rsidRDefault="00892DB7" w:rsidP="00C869A3">
      <w:pPr>
        <w:spacing w:after="0" w:line="240" w:lineRule="auto"/>
        <w:jc w:val="center"/>
        <w:rPr>
          <w:rFonts w:ascii="Times New Roman" w:hAnsi="Times New Roman"/>
          <w:b/>
        </w:rPr>
      </w:pPr>
    </w:p>
    <w:p w:rsidR="004E35DC" w:rsidRDefault="004E35DC" w:rsidP="00892DB7">
      <w:pPr>
        <w:spacing w:after="0" w:line="240" w:lineRule="auto"/>
        <w:jc w:val="center"/>
        <w:rPr>
          <w:rFonts w:ascii="Times New Roman" w:hAnsi="Times New Roman"/>
          <w:b/>
        </w:rPr>
      </w:pPr>
    </w:p>
    <w:p w:rsidR="005F5698" w:rsidRPr="00D71C9A" w:rsidRDefault="006409CC" w:rsidP="00892DB7">
      <w:pPr>
        <w:spacing w:after="0" w:line="240" w:lineRule="auto"/>
        <w:jc w:val="center"/>
        <w:rPr>
          <w:rFonts w:ascii="Times New Roman" w:hAnsi="Times New Roman"/>
          <w:b/>
        </w:rPr>
      </w:pPr>
      <w:r w:rsidRPr="00D71C9A">
        <w:rPr>
          <w:rFonts w:ascii="Times New Roman" w:hAnsi="Times New Roman"/>
          <w:b/>
        </w:rPr>
        <w:lastRenderedPageBreak/>
        <w:t>Коментарі</w:t>
      </w:r>
      <w:r w:rsidR="000B30C2" w:rsidRPr="00D71C9A">
        <w:rPr>
          <w:rFonts w:ascii="Times New Roman" w:hAnsi="Times New Roman"/>
          <w:b/>
        </w:rPr>
        <w:t xml:space="preserve"> до оціночної таблиці «</w:t>
      </w:r>
      <w:r w:rsidR="00650B37">
        <w:rPr>
          <w:rFonts w:ascii="Times New Roman" w:hAnsi="Times New Roman"/>
          <w:b/>
        </w:rPr>
        <w:t>Сіль</w:t>
      </w:r>
      <w:r w:rsidR="000B30C2" w:rsidRPr="00D71C9A">
        <w:rPr>
          <w:rFonts w:ascii="Times New Roman" w:hAnsi="Times New Roman"/>
          <w:b/>
        </w:rPr>
        <w:t xml:space="preserve">ський бюджет  </w:t>
      </w:r>
      <w:r w:rsidR="00650B37">
        <w:rPr>
          <w:rFonts w:ascii="Times New Roman" w:hAnsi="Times New Roman"/>
          <w:b/>
        </w:rPr>
        <w:t>Присиваської ОТГ (Григорівська сільська рада Чаплинського району</w:t>
      </w:r>
      <w:r w:rsidR="003C37F5" w:rsidRPr="00D71C9A">
        <w:rPr>
          <w:rFonts w:ascii="Times New Roman" w:hAnsi="Times New Roman"/>
          <w:b/>
        </w:rPr>
        <w:t>»</w:t>
      </w:r>
    </w:p>
    <w:tbl>
      <w:tblPr>
        <w:tblW w:w="11080" w:type="dxa"/>
        <w:tblInd w:w="93" w:type="dxa"/>
        <w:tblLayout w:type="fixed"/>
        <w:tblLook w:val="04A0"/>
      </w:tblPr>
      <w:tblGrid>
        <w:gridCol w:w="866"/>
        <w:gridCol w:w="1559"/>
        <w:gridCol w:w="6379"/>
        <w:gridCol w:w="440"/>
        <w:gridCol w:w="440"/>
        <w:gridCol w:w="440"/>
        <w:gridCol w:w="496"/>
        <w:gridCol w:w="460"/>
      </w:tblGrid>
      <w:tr w:rsidR="00650B37" w:rsidRPr="00650B37" w:rsidTr="00650B37">
        <w:trPr>
          <w:trHeight w:val="219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0B37" w:rsidRPr="00650B37" w:rsidRDefault="00650B37" w:rsidP="00650B37">
            <w:pPr>
              <w:spacing w:after="0" w:line="240" w:lineRule="auto"/>
              <w:jc w:val="center"/>
              <w:rPr>
                <w:rFonts w:ascii="Times New Roman" w:eastAsia="Times New Roman" w:hAnsi="Times New Roman"/>
                <w:sz w:val="16"/>
                <w:szCs w:val="16"/>
                <w:lang w:val="ru-RU" w:eastAsia="ru-RU"/>
              </w:rPr>
            </w:pPr>
            <w:r w:rsidRPr="00650B37">
              <w:rPr>
                <w:rFonts w:ascii="Times New Roman" w:eastAsia="Times New Roman" w:hAnsi="Times New Roman"/>
                <w:sz w:val="16"/>
                <w:szCs w:val="16"/>
                <w:lang w:val="ru-RU" w:eastAsia="ru-RU"/>
              </w:rPr>
              <w:t>№ ГРБК, КПКВКМБ</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0B37" w:rsidRPr="00650B37" w:rsidRDefault="00650B37" w:rsidP="00650B37">
            <w:pPr>
              <w:spacing w:after="0" w:line="240" w:lineRule="auto"/>
              <w:jc w:val="center"/>
              <w:rPr>
                <w:rFonts w:ascii="Times New Roman" w:eastAsia="Times New Roman" w:hAnsi="Times New Roman"/>
                <w:color w:val="FF0000"/>
                <w:sz w:val="16"/>
                <w:szCs w:val="16"/>
                <w:lang w:val="ru-RU" w:eastAsia="ru-RU"/>
              </w:rPr>
            </w:pPr>
            <w:r w:rsidRPr="00650B37">
              <w:rPr>
                <w:rFonts w:ascii="Times New Roman" w:eastAsia="Times New Roman" w:hAnsi="Times New Roman"/>
                <w:sz w:val="16"/>
                <w:szCs w:val="16"/>
                <w:lang w:val="ru-RU" w:eastAsia="ru-RU"/>
              </w:rPr>
              <w:t>Найменування ГРБК, ВВ, бюджетної програми (</w:t>
            </w:r>
            <w:r w:rsidRPr="00650B37">
              <w:rPr>
                <w:rFonts w:ascii="Times New Roman" w:eastAsia="Times New Roman" w:hAnsi="Times New Roman"/>
                <w:i/>
                <w:iCs/>
                <w:sz w:val="16"/>
                <w:szCs w:val="16"/>
                <w:lang w:val="ru-RU" w:eastAsia="ru-RU"/>
              </w:rPr>
              <w:t>підпрограми</w:t>
            </w:r>
            <w:r w:rsidRPr="00650B37">
              <w:rPr>
                <w:rFonts w:ascii="Times New Roman" w:eastAsia="Times New Roman" w:hAnsi="Times New Roman"/>
                <w:sz w:val="16"/>
                <w:szCs w:val="16"/>
                <w:lang w:val="ru-RU" w:eastAsia="ru-RU"/>
              </w:rPr>
              <w:t>)</w:t>
            </w:r>
          </w:p>
        </w:tc>
        <w:tc>
          <w:tcPr>
            <w:tcW w:w="6379" w:type="dxa"/>
            <w:tcBorders>
              <w:top w:val="single" w:sz="4" w:space="0" w:color="auto"/>
              <w:left w:val="nil"/>
              <w:bottom w:val="nil"/>
              <w:right w:val="single" w:sz="4" w:space="0" w:color="auto"/>
            </w:tcBorders>
            <w:shd w:val="clear" w:color="000000" w:fill="FFFFFF"/>
            <w:vAlign w:val="center"/>
            <w:hideMark/>
          </w:tcPr>
          <w:p w:rsidR="00650B37" w:rsidRPr="00650B37" w:rsidRDefault="00650B37" w:rsidP="00650B37">
            <w:pPr>
              <w:spacing w:after="0" w:line="240" w:lineRule="auto"/>
              <w:jc w:val="center"/>
              <w:rPr>
                <w:rFonts w:ascii="Times New Roman" w:eastAsia="Times New Roman" w:hAnsi="Times New Roman"/>
                <w:color w:val="FF0000"/>
                <w:sz w:val="16"/>
                <w:szCs w:val="16"/>
                <w:lang w:val="ru-RU" w:eastAsia="ru-RU"/>
              </w:rPr>
            </w:pPr>
            <w:r w:rsidRPr="00650B37">
              <w:rPr>
                <w:rFonts w:ascii="Times New Roman" w:eastAsia="Times New Roman" w:hAnsi="Times New Roman"/>
                <w:color w:val="FF0000"/>
                <w:sz w:val="16"/>
                <w:szCs w:val="16"/>
                <w:lang w:val="ru-RU" w:eastAsia="ru-RU"/>
              </w:rPr>
              <w:t> </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50B37" w:rsidRPr="00650B37" w:rsidRDefault="00650B37" w:rsidP="00650B37">
            <w:pPr>
              <w:spacing w:after="0" w:line="240" w:lineRule="auto"/>
              <w:jc w:val="center"/>
              <w:rPr>
                <w:rFonts w:ascii="Times New Roman" w:eastAsia="Times New Roman" w:hAnsi="Times New Roman"/>
                <w:sz w:val="14"/>
                <w:szCs w:val="14"/>
                <w:lang w:val="ru-RU" w:eastAsia="ru-RU"/>
              </w:rPr>
            </w:pPr>
            <w:r w:rsidRPr="00650B37">
              <w:rPr>
                <w:rFonts w:ascii="Times New Roman" w:eastAsia="Times New Roman" w:hAnsi="Times New Roman"/>
                <w:sz w:val="14"/>
                <w:szCs w:val="14"/>
                <w:lang w:val="ru-RU" w:eastAsia="ru-RU"/>
              </w:rPr>
              <w:t>бюджетний запит</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50B37" w:rsidRPr="00650B37" w:rsidRDefault="00650B37" w:rsidP="00650B37">
            <w:pPr>
              <w:spacing w:after="0" w:line="240" w:lineRule="auto"/>
              <w:jc w:val="center"/>
              <w:rPr>
                <w:rFonts w:ascii="Times New Roman" w:eastAsia="Times New Roman" w:hAnsi="Times New Roman"/>
                <w:sz w:val="14"/>
                <w:szCs w:val="14"/>
                <w:lang w:val="ru-RU" w:eastAsia="ru-RU"/>
              </w:rPr>
            </w:pPr>
            <w:r w:rsidRPr="00650B37">
              <w:rPr>
                <w:rFonts w:ascii="Times New Roman" w:eastAsia="Times New Roman" w:hAnsi="Times New Roman"/>
                <w:sz w:val="14"/>
                <w:szCs w:val="14"/>
                <w:lang w:val="ru-RU" w:eastAsia="ru-RU"/>
              </w:rPr>
              <w:t>паспорт бюджетної програми (ПБП)</w:t>
            </w:r>
          </w:p>
        </w:tc>
        <w:tc>
          <w:tcPr>
            <w:tcW w:w="936" w:type="dxa"/>
            <w:gridSpan w:val="2"/>
            <w:tcBorders>
              <w:top w:val="single" w:sz="4" w:space="0" w:color="auto"/>
              <w:left w:val="nil"/>
              <w:bottom w:val="single" w:sz="4" w:space="0" w:color="auto"/>
              <w:right w:val="nil"/>
            </w:tcBorders>
            <w:shd w:val="clear" w:color="auto" w:fill="auto"/>
            <w:noWrap/>
            <w:vAlign w:val="center"/>
            <w:hideMark/>
          </w:tcPr>
          <w:p w:rsidR="00650B37" w:rsidRPr="00650B37" w:rsidRDefault="00650B37" w:rsidP="00650B37">
            <w:pPr>
              <w:spacing w:after="0" w:line="240" w:lineRule="auto"/>
              <w:jc w:val="center"/>
              <w:rPr>
                <w:rFonts w:ascii="Times New Roman" w:eastAsia="Times New Roman" w:hAnsi="Times New Roman"/>
                <w:sz w:val="16"/>
                <w:szCs w:val="16"/>
                <w:lang w:val="ru-RU" w:eastAsia="ru-RU"/>
              </w:rPr>
            </w:pPr>
            <w:r w:rsidRPr="00650B37">
              <w:rPr>
                <w:rFonts w:ascii="Times New Roman" w:eastAsia="Times New Roman" w:hAnsi="Times New Roman"/>
                <w:sz w:val="16"/>
                <w:szCs w:val="16"/>
                <w:lang w:val="ru-RU" w:eastAsia="ru-RU"/>
              </w:rPr>
              <w:t> </w:t>
            </w:r>
          </w:p>
        </w:tc>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50B37" w:rsidRPr="00650B37" w:rsidRDefault="00650B37" w:rsidP="00650B37">
            <w:pPr>
              <w:spacing w:after="0" w:line="240" w:lineRule="auto"/>
              <w:jc w:val="center"/>
              <w:rPr>
                <w:rFonts w:ascii="Times New Roman" w:eastAsia="Times New Roman" w:hAnsi="Times New Roman"/>
                <w:sz w:val="16"/>
                <w:szCs w:val="16"/>
                <w:lang w:val="ru-RU" w:eastAsia="ru-RU"/>
              </w:rPr>
            </w:pPr>
            <w:r w:rsidRPr="00650B37">
              <w:rPr>
                <w:rFonts w:ascii="Times New Roman" w:eastAsia="Times New Roman" w:hAnsi="Times New Roman"/>
                <w:sz w:val="16"/>
                <w:szCs w:val="16"/>
                <w:lang w:val="ru-RU" w:eastAsia="ru-RU"/>
              </w:rPr>
              <w:t>наявність бюджетної програми за дод.3 до бюджету</w:t>
            </w:r>
          </w:p>
        </w:tc>
      </w:tr>
      <w:tr w:rsidR="00650B37" w:rsidRPr="00650B37" w:rsidTr="00650B37">
        <w:trPr>
          <w:trHeight w:val="28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50B37" w:rsidRPr="00650B37" w:rsidRDefault="00650B37" w:rsidP="00650B37">
            <w:pPr>
              <w:spacing w:after="0" w:line="240" w:lineRule="auto"/>
              <w:rPr>
                <w:rFonts w:ascii="Times New Roman" w:eastAsia="Times New Roman" w:hAnsi="Times New Roman"/>
                <w:sz w:val="16"/>
                <w:szCs w:val="16"/>
                <w:lang w:val="ru-RU"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50B37" w:rsidRPr="00650B37" w:rsidRDefault="00650B37" w:rsidP="00650B37">
            <w:pPr>
              <w:spacing w:after="0" w:line="240" w:lineRule="auto"/>
              <w:rPr>
                <w:rFonts w:ascii="Times New Roman" w:eastAsia="Times New Roman" w:hAnsi="Times New Roman"/>
                <w:color w:val="FF0000"/>
                <w:sz w:val="16"/>
                <w:szCs w:val="16"/>
                <w:lang w:val="ru-RU" w:eastAsia="ru-RU"/>
              </w:rPr>
            </w:pPr>
          </w:p>
        </w:tc>
        <w:tc>
          <w:tcPr>
            <w:tcW w:w="6379" w:type="dxa"/>
            <w:tcBorders>
              <w:top w:val="nil"/>
              <w:left w:val="nil"/>
              <w:bottom w:val="single" w:sz="4" w:space="0" w:color="auto"/>
              <w:right w:val="single" w:sz="4" w:space="0" w:color="auto"/>
            </w:tcBorders>
            <w:shd w:val="clear" w:color="000000" w:fill="FFFFFF"/>
            <w:vAlign w:val="center"/>
            <w:hideMark/>
          </w:tcPr>
          <w:p w:rsidR="00650B37" w:rsidRPr="00650B37" w:rsidRDefault="00650B37" w:rsidP="00650B37">
            <w:pPr>
              <w:spacing w:after="0" w:line="240" w:lineRule="auto"/>
              <w:jc w:val="center"/>
              <w:rPr>
                <w:rFonts w:ascii="Times New Roman" w:eastAsia="Times New Roman" w:hAnsi="Times New Roman"/>
                <w:color w:val="FF0000"/>
                <w:sz w:val="16"/>
                <w:szCs w:val="16"/>
                <w:lang w:val="ru-RU" w:eastAsia="ru-RU"/>
              </w:rPr>
            </w:pPr>
            <w:r w:rsidRPr="00650B37">
              <w:rPr>
                <w:rFonts w:ascii="Times New Roman" w:eastAsia="Times New Roman" w:hAnsi="Times New Roman"/>
                <w:color w:val="FF0000"/>
                <w:sz w:val="16"/>
                <w:szCs w:val="16"/>
                <w:lang w:val="ru-RU" w:eastAsia="ru-RU"/>
              </w:rPr>
              <w:t> </w:t>
            </w: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650B37" w:rsidRPr="00650B37" w:rsidRDefault="00650B37" w:rsidP="00650B37">
            <w:pPr>
              <w:spacing w:after="0" w:line="240" w:lineRule="auto"/>
              <w:rPr>
                <w:rFonts w:ascii="Times New Roman" w:eastAsia="Times New Roman" w:hAnsi="Times New Roman"/>
                <w:sz w:val="14"/>
                <w:szCs w:val="14"/>
                <w:lang w:val="ru-RU" w:eastAsia="ru-RU"/>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650B37" w:rsidRPr="00650B37" w:rsidRDefault="00650B37" w:rsidP="00650B37">
            <w:pPr>
              <w:spacing w:after="0" w:line="240" w:lineRule="auto"/>
              <w:rPr>
                <w:rFonts w:ascii="Times New Roman" w:eastAsia="Times New Roman" w:hAnsi="Times New Roman"/>
                <w:sz w:val="14"/>
                <w:szCs w:val="14"/>
                <w:lang w:val="ru-RU" w:eastAsia="ru-RU"/>
              </w:rPr>
            </w:pPr>
          </w:p>
        </w:tc>
        <w:tc>
          <w:tcPr>
            <w:tcW w:w="440" w:type="dxa"/>
            <w:tcBorders>
              <w:top w:val="nil"/>
              <w:left w:val="nil"/>
              <w:bottom w:val="nil"/>
              <w:right w:val="single" w:sz="4" w:space="0" w:color="auto"/>
            </w:tcBorders>
            <w:shd w:val="clear" w:color="000000" w:fill="FFFFFF"/>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1.2.</w:t>
            </w:r>
          </w:p>
        </w:tc>
        <w:tc>
          <w:tcPr>
            <w:tcW w:w="496" w:type="dxa"/>
            <w:tcBorders>
              <w:top w:val="nil"/>
              <w:left w:val="nil"/>
              <w:bottom w:val="nil"/>
              <w:right w:val="single" w:sz="4" w:space="0" w:color="auto"/>
            </w:tcBorders>
            <w:shd w:val="clear" w:color="000000" w:fill="FFFFFF"/>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1.3.</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650B37" w:rsidRPr="00650B37" w:rsidRDefault="00650B37" w:rsidP="00650B37">
            <w:pPr>
              <w:spacing w:after="0" w:line="240" w:lineRule="auto"/>
              <w:rPr>
                <w:rFonts w:ascii="Times New Roman" w:eastAsia="Times New Roman" w:hAnsi="Times New Roman"/>
                <w:sz w:val="16"/>
                <w:szCs w:val="16"/>
                <w:lang w:val="ru-RU" w:eastAsia="ru-RU"/>
              </w:rPr>
            </w:pPr>
          </w:p>
        </w:tc>
      </w:tr>
      <w:tr w:rsidR="00650B37" w:rsidRPr="00650B37" w:rsidTr="00650B37">
        <w:trPr>
          <w:trHeight w:val="225"/>
        </w:trPr>
        <w:tc>
          <w:tcPr>
            <w:tcW w:w="866" w:type="dxa"/>
            <w:tcBorders>
              <w:top w:val="nil"/>
              <w:left w:val="single" w:sz="4" w:space="0" w:color="auto"/>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1</w:t>
            </w:r>
          </w:p>
        </w:tc>
        <w:tc>
          <w:tcPr>
            <w:tcW w:w="1559" w:type="dxa"/>
            <w:tcBorders>
              <w:top w:val="nil"/>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2</w:t>
            </w:r>
          </w:p>
        </w:tc>
        <w:tc>
          <w:tcPr>
            <w:tcW w:w="6379" w:type="dxa"/>
            <w:tcBorders>
              <w:top w:val="nil"/>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 </w:t>
            </w:r>
          </w:p>
        </w:tc>
        <w:tc>
          <w:tcPr>
            <w:tcW w:w="440" w:type="dxa"/>
            <w:tcBorders>
              <w:top w:val="nil"/>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3</w:t>
            </w:r>
          </w:p>
        </w:tc>
        <w:tc>
          <w:tcPr>
            <w:tcW w:w="440" w:type="dxa"/>
            <w:tcBorders>
              <w:top w:val="nil"/>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4</w:t>
            </w:r>
          </w:p>
        </w:tc>
        <w:tc>
          <w:tcPr>
            <w:tcW w:w="440" w:type="dxa"/>
            <w:tcBorders>
              <w:top w:val="single" w:sz="4" w:space="0" w:color="auto"/>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7</w:t>
            </w:r>
          </w:p>
        </w:tc>
        <w:tc>
          <w:tcPr>
            <w:tcW w:w="496" w:type="dxa"/>
            <w:tcBorders>
              <w:top w:val="single" w:sz="4" w:space="0" w:color="auto"/>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8</w:t>
            </w:r>
          </w:p>
        </w:tc>
        <w:tc>
          <w:tcPr>
            <w:tcW w:w="460" w:type="dxa"/>
            <w:tcBorders>
              <w:top w:val="nil"/>
              <w:left w:val="nil"/>
              <w:bottom w:val="nil"/>
              <w:right w:val="single" w:sz="4" w:space="0" w:color="auto"/>
            </w:tcBorders>
            <w:shd w:val="clear" w:color="auto" w:fill="auto"/>
            <w:vAlign w:val="center"/>
            <w:hideMark/>
          </w:tcPr>
          <w:p w:rsidR="00650B37" w:rsidRPr="00650B37" w:rsidRDefault="00650B37" w:rsidP="00650B37">
            <w:pPr>
              <w:spacing w:after="0" w:line="240" w:lineRule="auto"/>
              <w:jc w:val="center"/>
              <w:rPr>
                <w:rFonts w:ascii="Times New Roman" w:eastAsia="Times New Roman" w:hAnsi="Times New Roman"/>
                <w:sz w:val="12"/>
                <w:szCs w:val="12"/>
                <w:lang w:val="ru-RU" w:eastAsia="ru-RU"/>
              </w:rPr>
            </w:pPr>
            <w:r w:rsidRPr="00650B37">
              <w:rPr>
                <w:rFonts w:ascii="Times New Roman" w:eastAsia="Times New Roman" w:hAnsi="Times New Roman"/>
                <w:sz w:val="12"/>
                <w:szCs w:val="12"/>
                <w:lang w:val="ru-RU" w:eastAsia="ru-RU"/>
              </w:rPr>
              <w:t>14</w:t>
            </w:r>
          </w:p>
        </w:tc>
      </w:tr>
      <w:tr w:rsidR="00650B37" w:rsidRPr="00650B37" w:rsidTr="00650B37">
        <w:trPr>
          <w:trHeight w:val="330"/>
        </w:trPr>
        <w:tc>
          <w:tcPr>
            <w:tcW w:w="866" w:type="dxa"/>
            <w:tcBorders>
              <w:top w:val="single" w:sz="4" w:space="0" w:color="auto"/>
              <w:left w:val="single" w:sz="4" w:space="0" w:color="auto"/>
              <w:bottom w:val="single" w:sz="4" w:space="0" w:color="auto"/>
              <w:right w:val="nil"/>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b/>
                <w:bCs/>
                <w:i/>
                <w:iCs/>
                <w:sz w:val="20"/>
                <w:szCs w:val="20"/>
                <w:lang w:val="ru-RU" w:eastAsia="ru-RU"/>
              </w:rPr>
            </w:pPr>
            <w:r w:rsidRPr="00650B37">
              <w:rPr>
                <w:rFonts w:ascii="Times New Roman" w:eastAsia="Times New Roman" w:hAnsi="Times New Roman"/>
                <w:b/>
                <w:bCs/>
                <w:i/>
                <w:iCs/>
                <w:sz w:val="20"/>
                <w:szCs w:val="20"/>
                <w:lang w:val="ru-RU" w:eastAsia="ru-RU"/>
              </w:rPr>
              <w:t>1</w:t>
            </w:r>
          </w:p>
        </w:tc>
        <w:tc>
          <w:tcPr>
            <w:tcW w:w="7938" w:type="dxa"/>
            <w:gridSpan w:val="2"/>
            <w:tcBorders>
              <w:top w:val="single" w:sz="4" w:space="0" w:color="auto"/>
              <w:left w:val="nil"/>
              <w:bottom w:val="single" w:sz="4" w:space="0" w:color="auto"/>
              <w:right w:val="nil"/>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b/>
                <w:bCs/>
                <w:i/>
                <w:iCs/>
                <w:sz w:val="20"/>
                <w:szCs w:val="20"/>
                <w:lang w:val="ru-RU" w:eastAsia="ru-RU"/>
              </w:rPr>
            </w:pPr>
            <w:r w:rsidRPr="00650B37">
              <w:rPr>
                <w:rFonts w:ascii="Times New Roman" w:eastAsia="Times New Roman" w:hAnsi="Times New Roman"/>
                <w:b/>
                <w:bCs/>
                <w:i/>
                <w:iCs/>
                <w:sz w:val="20"/>
                <w:szCs w:val="20"/>
                <w:lang w:val="ru-RU" w:eastAsia="ru-RU"/>
              </w:rPr>
              <w:t xml:space="preserve">ГРБК Григорівська сільська рада </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rPr>
                <w:rFonts w:ascii="Times New Roman" w:eastAsia="Times New Roman" w:hAnsi="Times New Roman"/>
                <w:b/>
                <w:bCs/>
                <w:sz w:val="12"/>
                <w:szCs w:val="12"/>
                <w:lang w:val="ru-RU" w:eastAsia="ru-RU"/>
              </w:rPr>
            </w:pPr>
            <w:r w:rsidRPr="00650B37">
              <w:rPr>
                <w:rFonts w:ascii="Times New Roman" w:eastAsia="Times New Roman" w:hAnsi="Times New Roman"/>
                <w:b/>
                <w:bCs/>
                <w:sz w:val="12"/>
                <w:szCs w:val="12"/>
                <w:lang w:val="ru-RU" w:eastAsia="ru-RU"/>
              </w:rPr>
              <w:t> </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rPr>
                <w:rFonts w:ascii="Times New Roman" w:eastAsia="Times New Roman" w:hAnsi="Times New Roman"/>
                <w:b/>
                <w:bCs/>
                <w:sz w:val="12"/>
                <w:szCs w:val="12"/>
                <w:lang w:val="ru-RU" w:eastAsia="ru-RU"/>
              </w:rPr>
            </w:pPr>
            <w:r w:rsidRPr="00650B37">
              <w:rPr>
                <w:rFonts w:ascii="Times New Roman" w:eastAsia="Times New Roman" w:hAnsi="Times New Roman"/>
                <w:b/>
                <w:bCs/>
                <w:sz w:val="12"/>
                <w:szCs w:val="12"/>
                <w:lang w:val="ru-RU" w:eastAsia="ru-RU"/>
              </w:rPr>
              <w:t> </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jc w:val="right"/>
              <w:rPr>
                <w:rFonts w:ascii="Times New Roman" w:eastAsia="Times New Roman" w:hAnsi="Times New Roman"/>
                <w:b/>
                <w:bCs/>
                <w:sz w:val="16"/>
                <w:szCs w:val="16"/>
                <w:lang w:val="ru-RU" w:eastAsia="ru-RU"/>
              </w:rPr>
            </w:pPr>
            <w:r w:rsidRPr="00650B37">
              <w:rPr>
                <w:rFonts w:ascii="Times New Roman" w:eastAsia="Times New Roman" w:hAnsi="Times New Roman"/>
                <w:b/>
                <w:bCs/>
                <w:sz w:val="16"/>
                <w:szCs w:val="16"/>
                <w:lang w:val="ru-RU" w:eastAsia="ru-RU"/>
              </w:rPr>
              <w:t>0</w:t>
            </w:r>
          </w:p>
        </w:tc>
        <w:tc>
          <w:tcPr>
            <w:tcW w:w="496" w:type="dxa"/>
            <w:tcBorders>
              <w:top w:val="single" w:sz="4" w:space="0" w:color="auto"/>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jc w:val="right"/>
              <w:rPr>
                <w:rFonts w:ascii="Times New Roman" w:eastAsia="Times New Roman" w:hAnsi="Times New Roman"/>
                <w:b/>
                <w:bCs/>
                <w:sz w:val="16"/>
                <w:szCs w:val="16"/>
                <w:lang w:val="ru-RU" w:eastAsia="ru-RU"/>
              </w:rPr>
            </w:pPr>
            <w:r w:rsidRPr="00650B37">
              <w:rPr>
                <w:rFonts w:ascii="Times New Roman" w:eastAsia="Times New Roman" w:hAnsi="Times New Roman"/>
                <w:b/>
                <w:bCs/>
                <w:sz w:val="16"/>
                <w:szCs w:val="16"/>
                <w:lang w:val="ru-RU" w:eastAsia="ru-RU"/>
              </w:rPr>
              <w:t>5,63</w:t>
            </w:r>
          </w:p>
        </w:tc>
        <w:tc>
          <w:tcPr>
            <w:tcW w:w="460" w:type="dxa"/>
            <w:tcBorders>
              <w:top w:val="single" w:sz="4" w:space="0" w:color="auto"/>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rPr>
                <w:rFonts w:ascii="Times New Roman" w:eastAsia="Times New Roman" w:hAnsi="Times New Roman"/>
                <w:b/>
                <w:bCs/>
                <w:sz w:val="16"/>
                <w:szCs w:val="16"/>
                <w:lang w:val="ru-RU" w:eastAsia="ru-RU"/>
              </w:rPr>
            </w:pPr>
            <w:r w:rsidRPr="00650B37">
              <w:rPr>
                <w:rFonts w:ascii="Times New Roman" w:eastAsia="Times New Roman" w:hAnsi="Times New Roman"/>
                <w:b/>
                <w:bCs/>
                <w:sz w:val="16"/>
                <w:szCs w:val="16"/>
                <w:lang w:val="ru-RU" w:eastAsia="ru-RU"/>
              </w:rPr>
              <w:t> </w:t>
            </w:r>
          </w:p>
        </w:tc>
      </w:tr>
      <w:tr w:rsidR="00650B37" w:rsidRPr="00650B37" w:rsidTr="00650B37">
        <w:trPr>
          <w:trHeight w:val="240"/>
        </w:trPr>
        <w:tc>
          <w:tcPr>
            <w:tcW w:w="866" w:type="dxa"/>
            <w:tcBorders>
              <w:top w:val="nil"/>
              <w:left w:val="single" w:sz="4" w:space="0" w:color="auto"/>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b/>
                <w:bCs/>
                <w:sz w:val="16"/>
                <w:szCs w:val="16"/>
                <w:lang w:val="ru-RU" w:eastAsia="ru-RU"/>
              </w:rPr>
            </w:pPr>
            <w:r w:rsidRPr="00650B37">
              <w:rPr>
                <w:rFonts w:ascii="Times New Roman" w:eastAsia="Times New Roman" w:hAnsi="Times New Roman"/>
                <w:b/>
                <w:bCs/>
                <w:sz w:val="16"/>
                <w:szCs w:val="16"/>
                <w:lang w:val="ru-RU" w:eastAsia="ru-RU"/>
              </w:rPr>
              <w:t>0100000</w:t>
            </w:r>
          </w:p>
        </w:tc>
        <w:tc>
          <w:tcPr>
            <w:tcW w:w="7938" w:type="dxa"/>
            <w:gridSpan w:val="2"/>
            <w:tcBorders>
              <w:top w:val="single" w:sz="4" w:space="0" w:color="auto"/>
              <w:left w:val="nil"/>
              <w:bottom w:val="single" w:sz="4" w:space="0" w:color="auto"/>
              <w:right w:val="single" w:sz="4" w:space="0" w:color="000000"/>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b/>
                <w:bCs/>
                <w:sz w:val="18"/>
                <w:szCs w:val="18"/>
                <w:lang w:val="ru-RU" w:eastAsia="ru-RU"/>
              </w:rPr>
            </w:pPr>
            <w:r w:rsidRPr="00650B37">
              <w:rPr>
                <w:rFonts w:ascii="Times New Roman" w:eastAsia="Times New Roman" w:hAnsi="Times New Roman"/>
                <w:b/>
                <w:bCs/>
                <w:sz w:val="18"/>
                <w:szCs w:val="18"/>
                <w:lang w:val="ru-RU" w:eastAsia="ru-RU"/>
              </w:rPr>
              <w:t xml:space="preserve">ВВ: Григорівська сільська рада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b/>
                <w:bCs/>
                <w:sz w:val="32"/>
                <w:szCs w:val="32"/>
                <w:lang w:val="ru-RU" w:eastAsia="ru-RU"/>
              </w:rPr>
            </w:pPr>
            <w:r w:rsidRPr="00650B37">
              <w:rPr>
                <w:rFonts w:ascii="Times New Roman" w:eastAsia="Times New Roman" w:hAnsi="Times New Roman"/>
                <w:b/>
                <w:bCs/>
                <w:sz w:val="32"/>
                <w:szCs w:val="32"/>
                <w:lang w:val="ru-RU" w:eastAsia="ru-RU"/>
              </w:rPr>
              <w:t> </w:t>
            </w:r>
          </w:p>
        </w:tc>
        <w:tc>
          <w:tcPr>
            <w:tcW w:w="440" w:type="dxa"/>
            <w:tcBorders>
              <w:top w:val="nil"/>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jc w:val="right"/>
              <w:rPr>
                <w:rFonts w:ascii="Times New Roman" w:eastAsia="Times New Roman" w:hAnsi="Times New Roman"/>
                <w:b/>
                <w:bCs/>
                <w:sz w:val="16"/>
                <w:szCs w:val="16"/>
                <w:lang w:val="ru-RU" w:eastAsia="ru-RU"/>
              </w:rPr>
            </w:pPr>
            <w:r w:rsidRPr="00650B37">
              <w:rPr>
                <w:rFonts w:ascii="Times New Roman" w:eastAsia="Times New Roman" w:hAnsi="Times New Roman"/>
                <w:b/>
                <w:bCs/>
                <w:sz w:val="16"/>
                <w:szCs w:val="16"/>
                <w:lang w:val="ru-RU" w:eastAsia="ru-RU"/>
              </w:rPr>
              <w:t>8</w:t>
            </w:r>
          </w:p>
        </w:tc>
        <w:tc>
          <w:tcPr>
            <w:tcW w:w="440" w:type="dxa"/>
            <w:tcBorders>
              <w:top w:val="nil"/>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jc w:val="right"/>
              <w:rPr>
                <w:rFonts w:ascii="Times New Roman" w:eastAsia="Times New Roman" w:hAnsi="Times New Roman"/>
                <w:sz w:val="16"/>
                <w:szCs w:val="16"/>
                <w:lang w:val="ru-RU" w:eastAsia="ru-RU"/>
              </w:rPr>
            </w:pPr>
            <w:r w:rsidRPr="00650B37">
              <w:rPr>
                <w:rFonts w:ascii="Times New Roman" w:eastAsia="Times New Roman" w:hAnsi="Times New Roman"/>
                <w:sz w:val="16"/>
                <w:szCs w:val="16"/>
                <w:lang w:val="ru-RU" w:eastAsia="ru-RU"/>
              </w:rPr>
              <w:t>0</w:t>
            </w:r>
          </w:p>
        </w:tc>
        <w:tc>
          <w:tcPr>
            <w:tcW w:w="496" w:type="dxa"/>
            <w:tcBorders>
              <w:top w:val="nil"/>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jc w:val="right"/>
              <w:rPr>
                <w:rFonts w:ascii="Times New Roman" w:eastAsia="Times New Roman" w:hAnsi="Times New Roman"/>
                <w:sz w:val="16"/>
                <w:szCs w:val="16"/>
                <w:lang w:val="ru-RU" w:eastAsia="ru-RU"/>
              </w:rPr>
            </w:pPr>
            <w:r w:rsidRPr="00650B37">
              <w:rPr>
                <w:rFonts w:ascii="Times New Roman" w:eastAsia="Times New Roman" w:hAnsi="Times New Roman"/>
                <w:sz w:val="16"/>
                <w:szCs w:val="16"/>
                <w:lang w:val="ru-RU" w:eastAsia="ru-RU"/>
              </w:rPr>
              <w:t>45</w:t>
            </w:r>
          </w:p>
        </w:tc>
        <w:tc>
          <w:tcPr>
            <w:tcW w:w="460" w:type="dxa"/>
            <w:tcBorders>
              <w:top w:val="nil"/>
              <w:left w:val="nil"/>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rPr>
                <w:rFonts w:ascii="Times New Roman" w:eastAsia="Times New Roman" w:hAnsi="Times New Roman"/>
                <w:b/>
                <w:bCs/>
                <w:sz w:val="16"/>
                <w:szCs w:val="16"/>
                <w:lang w:val="ru-RU" w:eastAsia="ru-RU"/>
              </w:rPr>
            </w:pPr>
            <w:r w:rsidRPr="00650B37">
              <w:rPr>
                <w:rFonts w:ascii="Times New Roman" w:eastAsia="Times New Roman" w:hAnsi="Times New Roman"/>
                <w:b/>
                <w:bCs/>
                <w:sz w:val="16"/>
                <w:szCs w:val="16"/>
                <w:lang w:val="ru-RU" w:eastAsia="ru-RU"/>
              </w:rPr>
              <w:t>8</w:t>
            </w:r>
          </w:p>
        </w:tc>
      </w:tr>
      <w:tr w:rsidR="00650B37" w:rsidRPr="00650B37" w:rsidTr="00650B37">
        <w:trPr>
          <w:trHeight w:val="1620"/>
        </w:trPr>
        <w:tc>
          <w:tcPr>
            <w:tcW w:w="866" w:type="dxa"/>
            <w:tcBorders>
              <w:top w:val="nil"/>
              <w:left w:val="single" w:sz="4" w:space="0" w:color="auto"/>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0110170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Організаційне забезпечення діяльності сільської ради та її виконавчих комітетів</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Мета і завдання програми у ПБП відповідають наказу Мінфіну № 1035 від 27.09.12 Відсутні такі передбачені наказом показники:       - продукту: кількість отриманих листів, звернень, заяв, скарг, од.; кількість прийнятих нормативно-правових актів, од.</w:t>
            </w:r>
            <w:r w:rsidRPr="00650B37">
              <w:rPr>
                <w:rFonts w:ascii="Times New Roman" w:eastAsia="Times New Roman" w:hAnsi="Times New Roman"/>
                <w:sz w:val="18"/>
                <w:szCs w:val="18"/>
                <w:lang w:val="ru-RU" w:eastAsia="ru-RU"/>
              </w:rPr>
              <w:br/>
              <w:t xml:space="preserve">- ефективності: кількість виконаних листів, звернень, заяв, скарг на одного працівника, од.; кількість прийнятих нормативно-правових актів на одного працівника, од.; Оцінити потрібність ради та виконкому з точки зору видаваємого нею для народу продукту (адміністративних послуг та НПА) стає неможливим. ПБП визнано </w:t>
            </w:r>
            <w:r w:rsidRPr="00650B37">
              <w:rPr>
                <w:rFonts w:ascii="Times New Roman" w:eastAsia="Times New Roman" w:hAnsi="Times New Roman"/>
                <w:b/>
                <w:bCs/>
                <w:sz w:val="18"/>
                <w:szCs w:val="18"/>
                <w:lang w:val="ru-RU" w:eastAsia="ru-RU"/>
              </w:rPr>
              <w:t xml:space="preserve">невідповідним </w:t>
            </w:r>
            <w:r w:rsidRPr="00650B37">
              <w:rPr>
                <w:rFonts w:ascii="Times New Roman" w:eastAsia="Times New Roman" w:hAnsi="Times New Roman"/>
                <w:sz w:val="18"/>
                <w:szCs w:val="18"/>
                <w:lang w:val="ru-RU" w:eastAsia="ru-RU"/>
              </w:rPr>
              <w:t xml:space="preserve">наказу № 1035, </w:t>
            </w:r>
            <w:r w:rsidRPr="00650B37">
              <w:rPr>
                <w:rFonts w:ascii="Times New Roman" w:eastAsia="Times New Roman" w:hAnsi="Times New Roman"/>
                <w:b/>
                <w:bCs/>
                <w:sz w:val="18"/>
                <w:szCs w:val="18"/>
                <w:lang w:val="ru-RU" w:eastAsia="ru-RU"/>
              </w:rPr>
              <w:t>0 балів у колонці 7</w:t>
            </w:r>
            <w:r w:rsidRPr="00650B37">
              <w:rPr>
                <w:rFonts w:ascii="Times New Roman" w:eastAsia="Times New Roman" w:hAnsi="Times New Roman"/>
                <w:sz w:val="18"/>
                <w:szCs w:val="18"/>
                <w:lang w:val="ru-RU" w:eastAsia="ru-RU"/>
              </w:rPr>
              <w:t xml:space="preserve">. БЗІ не створено і не надано, </w:t>
            </w:r>
            <w:r w:rsidRPr="00650B37">
              <w:rPr>
                <w:rFonts w:ascii="Times New Roman" w:eastAsia="Times New Roman" w:hAnsi="Times New Roman"/>
                <w:b/>
                <w:bCs/>
                <w:sz w:val="18"/>
                <w:szCs w:val="18"/>
                <w:lang w:val="ru-RU" w:eastAsia="ru-RU"/>
              </w:rPr>
              <w:t>0 балів у колонці 6</w:t>
            </w:r>
            <w:r w:rsidRPr="00650B37">
              <w:rPr>
                <w:rFonts w:ascii="Times New Roman" w:eastAsia="Times New Roman" w:hAnsi="Times New Roman"/>
                <w:sz w:val="18"/>
                <w:szCs w:val="18"/>
                <w:lang w:val="ru-RU" w:eastAsia="ru-RU"/>
              </w:rPr>
              <w:t xml:space="preserve">.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1515"/>
        </w:trPr>
        <w:tc>
          <w:tcPr>
            <w:tcW w:w="866" w:type="dxa"/>
            <w:tcBorders>
              <w:top w:val="nil"/>
              <w:left w:val="single" w:sz="4" w:space="0" w:color="auto"/>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0111010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Дошкільна освіта </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Мета, завдання, показники затрат, продукту, ефективності і якості </w:t>
            </w:r>
            <w:r w:rsidRPr="00650B37">
              <w:rPr>
                <w:rFonts w:ascii="Times New Roman" w:eastAsia="Times New Roman" w:hAnsi="Times New Roman"/>
                <w:b/>
                <w:bCs/>
                <w:sz w:val="18"/>
                <w:szCs w:val="18"/>
                <w:lang w:val="ru-RU" w:eastAsia="ru-RU"/>
              </w:rPr>
              <w:t xml:space="preserve">відповідають </w:t>
            </w:r>
            <w:r w:rsidRPr="00650B37">
              <w:rPr>
                <w:rFonts w:ascii="Times New Roman" w:eastAsia="Times New Roman" w:hAnsi="Times New Roman"/>
                <w:sz w:val="18"/>
                <w:szCs w:val="18"/>
                <w:lang w:val="ru-RU" w:eastAsia="ru-RU"/>
              </w:rPr>
              <w:t xml:space="preserve">наказу Міносвіти № 298-519 від 01.06.10, </w:t>
            </w:r>
            <w:r w:rsidRPr="00650B37">
              <w:rPr>
                <w:rFonts w:ascii="Times New Roman" w:eastAsia="Times New Roman" w:hAnsi="Times New Roman"/>
                <w:b/>
                <w:bCs/>
                <w:sz w:val="18"/>
                <w:szCs w:val="18"/>
                <w:lang w:val="ru-RU" w:eastAsia="ru-RU"/>
              </w:rPr>
              <w:t>15 балів у колонці 7</w:t>
            </w:r>
            <w:r w:rsidRPr="00650B37">
              <w:rPr>
                <w:rFonts w:ascii="Times New Roman" w:eastAsia="Times New Roman" w:hAnsi="Times New Roman"/>
                <w:sz w:val="18"/>
                <w:szCs w:val="18"/>
                <w:lang w:val="ru-RU" w:eastAsia="ru-RU"/>
              </w:rPr>
              <w:t xml:space="preserve">. БЗІ не створено і не надано, </w:t>
            </w:r>
            <w:r w:rsidRPr="00650B37">
              <w:rPr>
                <w:rFonts w:ascii="Times New Roman" w:eastAsia="Times New Roman" w:hAnsi="Times New Roman"/>
                <w:b/>
                <w:bCs/>
                <w:sz w:val="18"/>
                <w:szCs w:val="18"/>
                <w:lang w:val="ru-RU" w:eastAsia="ru-RU"/>
              </w:rPr>
              <w:t>0 балів у колонці 6</w:t>
            </w:r>
            <w:r w:rsidRPr="00650B37">
              <w:rPr>
                <w:rFonts w:ascii="Times New Roman" w:eastAsia="Times New Roman" w:hAnsi="Times New Roman"/>
                <w:sz w:val="18"/>
                <w:szCs w:val="18"/>
                <w:lang w:val="ru-RU" w:eastAsia="ru-RU"/>
              </w:rPr>
              <w:t>. Зауваження: значення показнику якості "відсоток дітей, охоплених дошкільною освітою" = 42%, не відповідає співвідношенню показників продукту "кількість дітей, що відвідують дошкільні заклади" = 110 осіб, та "кількість дітей віком від 0 до 6 років" = 110 осіб. Ймовірно, котрийсь із трьох показників є помилкою, або вони всі разом, принаймні, забезпечити повне охоплення дошкільною освітою в дитячому садку новонароджених немовлят неможливо навіть у тоталітарних суспільствах.</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1935"/>
        </w:trPr>
        <w:tc>
          <w:tcPr>
            <w:tcW w:w="866" w:type="dxa"/>
            <w:tcBorders>
              <w:top w:val="nil"/>
              <w:left w:val="single" w:sz="4" w:space="0" w:color="auto"/>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0111020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Надання загальної середньої освіти ЗНЗ </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Мета, завдання, показники затрат, ефективності і якості відповідають наказу Міносвіти № 298-519 від 01.06.10, відсутній (замінений іншим, "кількістю учнів") показник продукту "кількість осіб з числа дітей-сиріт та дітей, позбавлених батьківського піклування, яким буде виплачуватися одноразова грошова допомога при працевлаштуванні, осіб.". Однак, на відміну від міських громад, де наявність відповідного контингенту підтвержджується іншими програмами, в даному випадку можливою причиною відсутності показника є відсутність потенційних отримувачів допомоги. Крім того, Присиваська ОТГ не перейняла функції соціального захисту, і ретрансфертує належні під них державні субвенції до районного відділу праці і соцзахисту, а отже, не веде, і не зобовязана вести, відповідної статистики. ПБП визнано </w:t>
            </w:r>
            <w:r w:rsidRPr="00650B37">
              <w:rPr>
                <w:rFonts w:ascii="Times New Roman" w:eastAsia="Times New Roman" w:hAnsi="Times New Roman"/>
                <w:b/>
                <w:bCs/>
                <w:sz w:val="18"/>
                <w:szCs w:val="18"/>
                <w:lang w:val="ru-RU" w:eastAsia="ru-RU"/>
              </w:rPr>
              <w:t>відповідним</w:t>
            </w:r>
            <w:r w:rsidRPr="00650B37">
              <w:rPr>
                <w:rFonts w:ascii="Times New Roman" w:eastAsia="Times New Roman" w:hAnsi="Times New Roman"/>
                <w:sz w:val="18"/>
                <w:szCs w:val="18"/>
                <w:lang w:val="ru-RU" w:eastAsia="ru-RU"/>
              </w:rPr>
              <w:t xml:space="preserve"> наказу № 298-519, </w:t>
            </w:r>
            <w:r w:rsidRPr="00650B37">
              <w:rPr>
                <w:rFonts w:ascii="Times New Roman" w:eastAsia="Times New Roman" w:hAnsi="Times New Roman"/>
                <w:b/>
                <w:bCs/>
                <w:sz w:val="18"/>
                <w:szCs w:val="18"/>
                <w:lang w:val="ru-RU" w:eastAsia="ru-RU"/>
              </w:rPr>
              <w:t>15 балів у колонці 7</w:t>
            </w:r>
            <w:r w:rsidRPr="00650B37">
              <w:rPr>
                <w:rFonts w:ascii="Times New Roman" w:eastAsia="Times New Roman" w:hAnsi="Times New Roman"/>
                <w:sz w:val="18"/>
                <w:szCs w:val="18"/>
                <w:lang w:val="ru-RU" w:eastAsia="ru-RU"/>
              </w:rPr>
              <w:t xml:space="preserve">. БЗІ не створено і не надано, </w:t>
            </w:r>
            <w:r w:rsidRPr="00650B37">
              <w:rPr>
                <w:rFonts w:ascii="Times New Roman" w:eastAsia="Times New Roman" w:hAnsi="Times New Roman"/>
                <w:b/>
                <w:bCs/>
                <w:sz w:val="18"/>
                <w:szCs w:val="18"/>
                <w:lang w:val="ru-RU" w:eastAsia="ru-RU"/>
              </w:rPr>
              <w:t xml:space="preserve">0 балів у колонці 6.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3270"/>
        </w:trPr>
        <w:tc>
          <w:tcPr>
            <w:tcW w:w="866" w:type="dxa"/>
            <w:tcBorders>
              <w:top w:val="nil"/>
              <w:left w:val="single" w:sz="4" w:space="0" w:color="auto"/>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0113240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Організація та проведення громадських робіт</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Наказом мінсоцполітики № 659 від 19.04.17 передбачено мету та завдання програми "забезпечення організації та проведення робіт", та два показники, продукту і ефективності: Показники продукту: кількість працівників, осіб.</w:t>
            </w:r>
            <w:r w:rsidRPr="00650B37">
              <w:rPr>
                <w:rFonts w:ascii="Times New Roman" w:eastAsia="Times New Roman" w:hAnsi="Times New Roman"/>
                <w:sz w:val="18"/>
                <w:szCs w:val="18"/>
                <w:lang w:val="ru-RU" w:eastAsia="ru-RU"/>
              </w:rPr>
              <w:br/>
              <w:t xml:space="preserve">Показники ефективності: середні витрати на одного працівника, грн . Розробник дотримався цих показників, хоча при формуванні завдання припустився відхилення від наказу,  "забезпечення соціально-правового захисту мешканців, що проживають на підпорядкованій території". Звісно, про жоден правовий захист зайнятих на громадських роботах при їх організації та оплаті не йдеться, ці питання вирішуються іншими програмами. Але з урахуванням того, що надання можливості працевлаштуватись на громадських роботах сприяє соціальному захисту особи, ПБП з великим припущенням і з великим авансом, можна визнати </w:t>
            </w:r>
            <w:r w:rsidRPr="00650B37">
              <w:rPr>
                <w:rFonts w:ascii="Times New Roman" w:eastAsia="Times New Roman" w:hAnsi="Times New Roman"/>
                <w:b/>
                <w:bCs/>
                <w:sz w:val="18"/>
                <w:szCs w:val="18"/>
                <w:lang w:val="ru-RU" w:eastAsia="ru-RU"/>
              </w:rPr>
              <w:t xml:space="preserve">відповідним </w:t>
            </w:r>
            <w:r w:rsidRPr="00650B37">
              <w:rPr>
                <w:rFonts w:ascii="Times New Roman" w:eastAsia="Times New Roman" w:hAnsi="Times New Roman"/>
                <w:sz w:val="18"/>
                <w:szCs w:val="18"/>
                <w:lang w:val="ru-RU" w:eastAsia="ru-RU"/>
              </w:rPr>
              <w:t xml:space="preserve">наказу № 659, </w:t>
            </w:r>
            <w:r w:rsidRPr="00650B37">
              <w:rPr>
                <w:rFonts w:ascii="Times New Roman" w:eastAsia="Times New Roman" w:hAnsi="Times New Roman"/>
                <w:b/>
                <w:bCs/>
                <w:sz w:val="18"/>
                <w:szCs w:val="18"/>
                <w:lang w:val="ru-RU" w:eastAsia="ru-RU"/>
              </w:rPr>
              <w:t xml:space="preserve">15 балів у колонці 7.  БЗІ не створено і не надано, 0 балів у колонці 6.                                                                                                                                                                 </w:t>
            </w:r>
            <w:r w:rsidRPr="00650B37">
              <w:rPr>
                <w:rFonts w:ascii="Times New Roman" w:eastAsia="Times New Roman" w:hAnsi="Times New Roman"/>
                <w:sz w:val="18"/>
                <w:szCs w:val="18"/>
                <w:lang w:val="ru-RU" w:eastAsia="ru-RU"/>
              </w:rPr>
              <w:t>Додаткові зауваження: показник ефективності в даній програмі не повинен механічно дорівнювати відношенню валових надходжень програми до чисельності зайнятих, а саме бути меншим передусім на розмір нарахувань ЄСВ, а також (що не обовязково проте) на інші витрати, повязані з організацією робіт. З урахуванням цього, програма не може бути виконана з дотриманням зазначених в ній показників, що має відобразитись у звіті по закінченню бюджетного року. Також невірною є сама згадка про соціальний захист, оскільки громада залишила цю функцію у веденні району.</w:t>
            </w:r>
          </w:p>
        </w:tc>
        <w:tc>
          <w:tcPr>
            <w:tcW w:w="440" w:type="dxa"/>
            <w:tcBorders>
              <w:top w:val="nil"/>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rPr>
                <w:rFonts w:ascii="Times New Roman" w:eastAsia="Times New Roman" w:hAnsi="Times New Roman"/>
                <w:i/>
                <w:iCs/>
                <w:sz w:val="18"/>
                <w:szCs w:val="18"/>
                <w:lang w:val="ru-RU" w:eastAsia="ru-RU"/>
              </w:rPr>
            </w:pPr>
            <w:r w:rsidRPr="00650B37">
              <w:rPr>
                <w:rFonts w:ascii="Times New Roman" w:eastAsia="Times New Roman" w:hAnsi="Times New Roman"/>
                <w:i/>
                <w:iCs/>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4155"/>
        </w:trPr>
        <w:tc>
          <w:tcPr>
            <w:tcW w:w="866" w:type="dxa"/>
            <w:tcBorders>
              <w:top w:val="nil"/>
              <w:left w:val="single" w:sz="4" w:space="0" w:color="auto"/>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lastRenderedPageBreak/>
              <w:t>0114090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Палаци і будинки культури, клуби та інші заклади клубного типу </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Мета і завдання програми у ПБП відповідають вимогам наказу Мінкультуризму № 1150-41 від 01.10.10 ("Надання послуг з організації культурного дозвілля населення" та  "Забезпечення організації культурного дозвілля населення і зміцнення культурних традицій" відповідно.                                                                                                    У ПБП присутні лише два показники:  Показники затрат: кількість установ - усього, од., наявний, проте не розписано по видах установ;  видатки загального фонду на забезпечення діяльності палаців, будинків культури, клубів та інших закладів, тис.грн. наявний.</w:t>
            </w:r>
            <w:r w:rsidRPr="00650B37">
              <w:rPr>
                <w:rFonts w:ascii="Times New Roman" w:eastAsia="Times New Roman" w:hAnsi="Times New Roman"/>
                <w:sz w:val="18"/>
                <w:szCs w:val="18"/>
                <w:lang w:val="ru-RU" w:eastAsia="ru-RU"/>
              </w:rPr>
              <w:br/>
              <w:t xml:space="preserve">Відсутні такі показники: - затрат: середнє число окладів (ставок) - усього, та по категоріям працюючих од.; </w:t>
            </w:r>
            <w:r w:rsidRPr="00650B37">
              <w:rPr>
                <w:rFonts w:ascii="Times New Roman" w:eastAsia="Times New Roman" w:hAnsi="Times New Roman"/>
                <w:sz w:val="18"/>
                <w:szCs w:val="18"/>
                <w:lang w:val="ru-RU" w:eastAsia="ru-RU"/>
              </w:rPr>
              <w:br/>
              <w:t>- продукту: кількість відвідувачів - усього, осіб, утому числі: за реалізованими квитками, осіб;</w:t>
            </w:r>
            <w:r w:rsidRPr="00650B37">
              <w:rPr>
                <w:rFonts w:ascii="Times New Roman" w:eastAsia="Times New Roman" w:hAnsi="Times New Roman"/>
                <w:sz w:val="18"/>
                <w:szCs w:val="18"/>
                <w:lang w:val="ru-RU" w:eastAsia="ru-RU"/>
              </w:rPr>
              <w:br/>
              <w:t>кількість заходів, які забезпечують організацію культурного дозвілля населення, од.; плановий обсяг доходів, тис. грн, у тому числі доходи від реалізації квитків, тис. грн; кількість реалізованих квитків, шт.</w:t>
            </w:r>
            <w:r w:rsidRPr="00650B37">
              <w:rPr>
                <w:rFonts w:ascii="Times New Roman" w:eastAsia="Times New Roman" w:hAnsi="Times New Roman"/>
                <w:sz w:val="18"/>
                <w:szCs w:val="18"/>
                <w:lang w:val="ru-RU" w:eastAsia="ru-RU"/>
              </w:rPr>
              <w:br/>
              <w:t>-ефективності: середня вартість одного квитка, грн; середні витрати на одного відвідувача, грн;</w:t>
            </w:r>
            <w:r w:rsidRPr="00650B37">
              <w:rPr>
                <w:rFonts w:ascii="Times New Roman" w:eastAsia="Times New Roman" w:hAnsi="Times New Roman"/>
                <w:sz w:val="18"/>
                <w:szCs w:val="18"/>
                <w:lang w:val="ru-RU" w:eastAsia="ru-RU"/>
              </w:rPr>
              <w:br/>
              <w:t>середні витрати на проведення одного заходу, грн.</w:t>
            </w:r>
            <w:r w:rsidRPr="00650B37">
              <w:rPr>
                <w:rFonts w:ascii="Times New Roman" w:eastAsia="Times New Roman" w:hAnsi="Times New Roman"/>
                <w:sz w:val="18"/>
                <w:szCs w:val="18"/>
                <w:lang w:val="ru-RU" w:eastAsia="ru-RU"/>
              </w:rPr>
              <w:br/>
              <w:t xml:space="preserve">-якості: динаміка збільшення відвідувачів у плановому періоді відповідно до фактичного показника попереднього періоду, % . Частина цих показників могла не застосовуватись через 100% безкоштовність заходів і відсутність власних доходів установ, однак штатна чисельність, кількість і динаміка відвідувачів, витрати на 1 відвідувача, повинні бути без варіантів, і є необхідними для аналізу ефективності видатків з точки зору суспільної користі. ПБП </w:t>
            </w:r>
            <w:r w:rsidRPr="00650B37">
              <w:rPr>
                <w:rFonts w:ascii="Times New Roman" w:eastAsia="Times New Roman" w:hAnsi="Times New Roman"/>
                <w:b/>
                <w:bCs/>
                <w:sz w:val="18"/>
                <w:szCs w:val="18"/>
                <w:lang w:val="ru-RU" w:eastAsia="ru-RU"/>
              </w:rPr>
              <w:t>не відповідає</w:t>
            </w:r>
            <w:r w:rsidRPr="00650B37">
              <w:rPr>
                <w:rFonts w:ascii="Times New Roman" w:eastAsia="Times New Roman" w:hAnsi="Times New Roman"/>
                <w:sz w:val="18"/>
                <w:szCs w:val="18"/>
                <w:lang w:val="ru-RU" w:eastAsia="ru-RU"/>
              </w:rPr>
              <w:t xml:space="preserve"> наказу № 1150-41, </w:t>
            </w:r>
            <w:r w:rsidRPr="00650B37">
              <w:rPr>
                <w:rFonts w:ascii="Times New Roman" w:eastAsia="Times New Roman" w:hAnsi="Times New Roman"/>
                <w:b/>
                <w:bCs/>
                <w:sz w:val="18"/>
                <w:szCs w:val="18"/>
                <w:lang w:val="ru-RU" w:eastAsia="ru-RU"/>
              </w:rPr>
              <w:t>0 балів у колонці 7.</w:t>
            </w:r>
            <w:r w:rsidRPr="00650B37">
              <w:rPr>
                <w:rFonts w:ascii="Times New Roman" w:eastAsia="Times New Roman" w:hAnsi="Times New Roman"/>
                <w:sz w:val="18"/>
                <w:szCs w:val="18"/>
                <w:lang w:val="ru-RU" w:eastAsia="ru-RU"/>
              </w:rPr>
              <w:t xml:space="preserve"> БЗІ не створено і не надано, </w:t>
            </w:r>
            <w:r w:rsidRPr="00650B37">
              <w:rPr>
                <w:rFonts w:ascii="Times New Roman" w:eastAsia="Times New Roman" w:hAnsi="Times New Roman"/>
                <w:b/>
                <w:bCs/>
                <w:sz w:val="18"/>
                <w:szCs w:val="18"/>
                <w:lang w:val="ru-RU" w:eastAsia="ru-RU"/>
              </w:rPr>
              <w:t>0 балів у колонці 6.</w:t>
            </w:r>
          </w:p>
        </w:tc>
        <w:tc>
          <w:tcPr>
            <w:tcW w:w="440" w:type="dxa"/>
            <w:tcBorders>
              <w:top w:val="nil"/>
              <w:left w:val="nil"/>
              <w:bottom w:val="single" w:sz="4" w:space="0" w:color="auto"/>
              <w:right w:val="single" w:sz="4" w:space="0" w:color="auto"/>
            </w:tcBorders>
            <w:shd w:val="clear" w:color="000000" w:fill="CCC0DA"/>
            <w:noWrap/>
            <w:vAlign w:val="bottom"/>
            <w:hideMark/>
          </w:tcPr>
          <w:p w:rsidR="00650B37" w:rsidRPr="00650B37" w:rsidRDefault="00650B37" w:rsidP="00650B37">
            <w:pPr>
              <w:spacing w:after="0" w:line="240" w:lineRule="auto"/>
              <w:rPr>
                <w:rFonts w:ascii="Times New Roman" w:eastAsia="Times New Roman" w:hAnsi="Times New Roman"/>
                <w:i/>
                <w:iCs/>
                <w:sz w:val="18"/>
                <w:szCs w:val="18"/>
                <w:lang w:val="ru-RU" w:eastAsia="ru-RU"/>
              </w:rPr>
            </w:pPr>
            <w:r w:rsidRPr="00650B37">
              <w:rPr>
                <w:rFonts w:ascii="Times New Roman" w:eastAsia="Times New Roman" w:hAnsi="Times New Roman"/>
                <w:i/>
                <w:iCs/>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noWrap/>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6960"/>
        </w:trPr>
        <w:tc>
          <w:tcPr>
            <w:tcW w:w="866" w:type="dxa"/>
            <w:tcBorders>
              <w:top w:val="nil"/>
              <w:left w:val="single" w:sz="4" w:space="0" w:color="auto"/>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0116060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Благоустрій міст, сіл, селищ</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 Мета, завдання і показники цієї БП унормовано наказом Мінфіну № 945. Серед девяти завдань цієї програми, а також додаткового завдання згідно з приміткою 2 до наказу, завдання "освітлення вулиць" не існує, видатки на нього передбачено іншою БП, "Забезпечення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 (КТКВК 100302)" , КПК ХХХ6130: </w:t>
            </w:r>
            <w:r w:rsidRPr="00650B37">
              <w:rPr>
                <w:rFonts w:ascii="Times New Roman" w:eastAsia="Times New Roman" w:hAnsi="Times New Roman"/>
                <w:i/>
                <w:iCs/>
                <w:sz w:val="18"/>
                <w:szCs w:val="18"/>
                <w:lang w:val="ru-RU" w:eastAsia="ru-RU"/>
              </w:rPr>
              <w:t>Завдання 2    Забезпечення функціонування мереж зовнішнього освітлення</w:t>
            </w:r>
            <w:r w:rsidRPr="00650B37">
              <w:rPr>
                <w:rFonts w:ascii="Times New Roman" w:eastAsia="Times New Roman" w:hAnsi="Times New Roman"/>
                <w:i/>
                <w:iCs/>
                <w:sz w:val="18"/>
                <w:szCs w:val="18"/>
                <w:lang w:val="ru-RU" w:eastAsia="ru-RU"/>
              </w:rPr>
              <w:br/>
              <w:t xml:space="preserve">Результативні показники    </w:t>
            </w:r>
            <w:r w:rsidRPr="00650B37">
              <w:rPr>
                <w:rFonts w:ascii="Times New Roman" w:eastAsia="Times New Roman" w:hAnsi="Times New Roman"/>
                <w:i/>
                <w:iCs/>
                <w:sz w:val="18"/>
                <w:szCs w:val="18"/>
                <w:lang w:val="ru-RU" w:eastAsia="ru-RU"/>
              </w:rPr>
              <w:br/>
              <w:t>Показники затрат: обсяг видатків, тис. грн.; обсяг електроенергії, необхідної для зовнішнього освітлення, тис. кВт. год.; рівень освітлення вулиць на початок року, %.</w:t>
            </w:r>
            <w:r w:rsidRPr="00650B37">
              <w:rPr>
                <w:rFonts w:ascii="Times New Roman" w:eastAsia="Times New Roman" w:hAnsi="Times New Roman"/>
                <w:i/>
                <w:iCs/>
                <w:sz w:val="18"/>
                <w:szCs w:val="18"/>
                <w:lang w:val="ru-RU" w:eastAsia="ru-RU"/>
              </w:rPr>
              <w:br/>
              <w:t>Показники продукту: кількість світлоточок, які планується встановити, од.; кількість електроламп та світильників, які планується замінити, од.; кількість світлоточок, які  підлягають поточному / капітальному ремонту, тис. шт.;</w:t>
            </w:r>
            <w:r w:rsidRPr="00650B37">
              <w:rPr>
                <w:rFonts w:ascii="Times New Roman" w:eastAsia="Times New Roman" w:hAnsi="Times New Roman"/>
                <w:i/>
                <w:iCs/>
                <w:sz w:val="18"/>
                <w:szCs w:val="18"/>
                <w:lang w:val="ru-RU" w:eastAsia="ru-RU"/>
              </w:rPr>
              <w:br/>
              <w:t>протяжність мережі зовнішнього освітлення, яка підлягає поточному / капітальному ремонту, км;</w:t>
            </w:r>
            <w:r w:rsidRPr="00650B37">
              <w:rPr>
                <w:rFonts w:ascii="Times New Roman" w:eastAsia="Times New Roman" w:hAnsi="Times New Roman"/>
                <w:i/>
                <w:iCs/>
                <w:sz w:val="18"/>
                <w:szCs w:val="18"/>
                <w:lang w:val="ru-RU" w:eastAsia="ru-RU"/>
              </w:rPr>
              <w:br/>
              <w:t>протяжність мережі зовнішнього освітлення, на якій планується провести поточний / капітальний ремонт, км.</w:t>
            </w:r>
            <w:r w:rsidRPr="00650B37">
              <w:rPr>
                <w:rFonts w:ascii="Times New Roman" w:eastAsia="Times New Roman" w:hAnsi="Times New Roman"/>
                <w:i/>
                <w:iCs/>
                <w:sz w:val="18"/>
                <w:szCs w:val="18"/>
                <w:lang w:val="ru-RU" w:eastAsia="ru-RU"/>
              </w:rPr>
              <w:br/>
              <w:t>Показники ефективності: середній обсяг спожитої електроенергії на одну світлоточку в рік, кВт. год.;</w:t>
            </w:r>
            <w:r w:rsidRPr="00650B37">
              <w:rPr>
                <w:rFonts w:ascii="Times New Roman" w:eastAsia="Times New Roman" w:hAnsi="Times New Roman"/>
                <w:i/>
                <w:iCs/>
                <w:sz w:val="18"/>
                <w:szCs w:val="18"/>
                <w:lang w:val="ru-RU" w:eastAsia="ru-RU"/>
              </w:rPr>
              <w:br/>
              <w:t>середні витрати на утримання однієї світлоточки в рік, тис. грн.; середні витрати на поточний / капітальний ремонт однієї світлоточки, тис. грн.;</w:t>
            </w:r>
            <w:r w:rsidRPr="00650B37">
              <w:rPr>
                <w:rFonts w:ascii="Times New Roman" w:eastAsia="Times New Roman" w:hAnsi="Times New Roman"/>
                <w:i/>
                <w:iCs/>
                <w:sz w:val="18"/>
                <w:szCs w:val="18"/>
                <w:lang w:val="ru-RU" w:eastAsia="ru-RU"/>
              </w:rPr>
              <w:br/>
              <w:t>Показники якості: питома вага  замінених електроламп та світильників до загальної потреби, %;</w:t>
            </w:r>
            <w:r w:rsidRPr="00650B37">
              <w:rPr>
                <w:rFonts w:ascii="Times New Roman" w:eastAsia="Times New Roman" w:hAnsi="Times New Roman"/>
                <w:i/>
                <w:iCs/>
                <w:sz w:val="18"/>
                <w:szCs w:val="18"/>
                <w:lang w:val="ru-RU" w:eastAsia="ru-RU"/>
              </w:rPr>
              <w:br/>
              <w:t>темп зростання споживання електроенергії на одну світлоточку в рік порівняно з попереднім роком, %;</w:t>
            </w:r>
            <w:r w:rsidRPr="00650B37">
              <w:rPr>
                <w:rFonts w:ascii="Times New Roman" w:eastAsia="Times New Roman" w:hAnsi="Times New Roman"/>
                <w:i/>
                <w:iCs/>
                <w:sz w:val="18"/>
                <w:szCs w:val="18"/>
                <w:lang w:val="ru-RU" w:eastAsia="ru-RU"/>
              </w:rPr>
              <w:br/>
              <w:t>питома вага відремонтованих світлоточок до загальної потреби, %; темп зростання середніх витрат на утримання однієї світлоточки в рік порівняно з попереднім роком, %; питома вага відремонтованих мереж зовнішнього освітлення до загальної потреби, %; темп зростання середніх витрат на поточний / капітальний ремонт однієї світлоточки порівняно з попереднім роком, %; темп зростання середніх витрат на поточний / капітальний ремонт 1 км мережі зовнішнього освітлення порівняно з попереднім роком, %; темп зростання рівня освітлення вулиць, %; темп зростання кількості скарг населення  на якість освітлення вулиць порівняно з попереднім роком, %</w:t>
            </w:r>
            <w:r w:rsidRPr="00650B37">
              <w:rPr>
                <w:rFonts w:ascii="Times New Roman" w:eastAsia="Times New Roman" w:hAnsi="Times New Roman"/>
                <w:sz w:val="18"/>
                <w:szCs w:val="18"/>
                <w:lang w:val="ru-RU" w:eastAsia="ru-RU"/>
              </w:rPr>
              <w:br/>
              <w:t xml:space="preserve">Розробник вжив лише показник затрат "обсяг утримання підрозділу" та "кількість установ", причому останню порахував як суму місцевих ланок з ремонту освітлення в населених пунктах, щодо яких термін "установа" неприпустимий. Практично, ПБП категорично </w:t>
            </w:r>
            <w:r w:rsidRPr="00650B37">
              <w:rPr>
                <w:rFonts w:ascii="Times New Roman" w:eastAsia="Times New Roman" w:hAnsi="Times New Roman"/>
                <w:b/>
                <w:bCs/>
                <w:sz w:val="18"/>
                <w:szCs w:val="18"/>
                <w:lang w:val="ru-RU" w:eastAsia="ru-RU"/>
              </w:rPr>
              <w:t xml:space="preserve">не відповідає </w:t>
            </w:r>
            <w:r w:rsidRPr="00650B37">
              <w:rPr>
                <w:rFonts w:ascii="Times New Roman" w:eastAsia="Times New Roman" w:hAnsi="Times New Roman"/>
                <w:sz w:val="18"/>
                <w:szCs w:val="18"/>
                <w:lang w:val="ru-RU" w:eastAsia="ru-RU"/>
              </w:rPr>
              <w:t xml:space="preserve">наказу № 945, </w:t>
            </w:r>
            <w:r w:rsidRPr="00650B37">
              <w:rPr>
                <w:rFonts w:ascii="Times New Roman" w:eastAsia="Times New Roman" w:hAnsi="Times New Roman"/>
                <w:b/>
                <w:bCs/>
                <w:sz w:val="18"/>
                <w:szCs w:val="18"/>
                <w:lang w:val="ru-RU" w:eastAsia="ru-RU"/>
              </w:rPr>
              <w:t>0 балів у колонці 7</w:t>
            </w:r>
            <w:r w:rsidRPr="00650B37">
              <w:rPr>
                <w:rFonts w:ascii="Times New Roman" w:eastAsia="Times New Roman" w:hAnsi="Times New Roman"/>
                <w:sz w:val="18"/>
                <w:szCs w:val="18"/>
                <w:lang w:val="ru-RU" w:eastAsia="ru-RU"/>
              </w:rPr>
              <w:t xml:space="preserve">. БЗІ не створено і не надано, </w:t>
            </w:r>
            <w:r w:rsidRPr="00650B37">
              <w:rPr>
                <w:rFonts w:ascii="Times New Roman" w:eastAsia="Times New Roman" w:hAnsi="Times New Roman"/>
                <w:b/>
                <w:bCs/>
                <w:sz w:val="18"/>
                <w:szCs w:val="18"/>
                <w:lang w:val="ru-RU" w:eastAsia="ru-RU"/>
              </w:rPr>
              <w:t>0 балів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3300"/>
        </w:trPr>
        <w:tc>
          <w:tcPr>
            <w:tcW w:w="866" w:type="dxa"/>
            <w:tcBorders>
              <w:top w:val="nil"/>
              <w:left w:val="single" w:sz="4" w:space="0" w:color="auto"/>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lastRenderedPageBreak/>
              <w:t>0117470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Внески до статутного капіталу суб"єктів господарювання</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Мета програми за наказом Мінфіну № 945 "Підтримка підприємств комунальної форми власності", мета за ПБП "Капітальні трансферти підпрємствам(установам,організаціям)". Завдання за наказом "Фінансова підтримка підприємств комунальної форми власності ". Завдання за ПБП "Капітальні трансферти підпрємствам(установам,організаціям)". Унормовані показники за наказом: - затрат: обсяг видатків, що спрямовуються на поповнення статутного капіталу підприємства, тис. грн.; результат фінансової діяльності підприємства на початок року, тис. грн. - якості "співвідношення суми поповнення статутного капіталу до розміру статутного капіталу на початок року, %;" та "результат фінансової діяльності підприємства на кінець року, тис. грн.".  Розробник, замість того, тричі продублював вигадану ним мету/завдання програми під виглдом показників затрат, продуткту та якості, і надав їй значення вартості програми. Таким чином, навіть відверто недостатній набір показників у цій корупційно-ризиковій програмі, було проігноровано. Сторонньому спостерігачу неможливо оцінити ані доцільність видатків (чи потребує їх реципієнт), ані їх ефективність (як змінилися результати реципієнта. До того ж, усі видатки треба подавати в розрізі одержувачів внесків. ПБП </w:t>
            </w:r>
            <w:r w:rsidRPr="00650B37">
              <w:rPr>
                <w:rFonts w:ascii="Times New Roman" w:eastAsia="Times New Roman" w:hAnsi="Times New Roman"/>
                <w:b/>
                <w:bCs/>
                <w:sz w:val="18"/>
                <w:szCs w:val="18"/>
                <w:lang w:val="ru-RU" w:eastAsia="ru-RU"/>
              </w:rPr>
              <w:t xml:space="preserve">не відповідає </w:t>
            </w:r>
            <w:r w:rsidRPr="00650B37">
              <w:rPr>
                <w:rFonts w:ascii="Times New Roman" w:eastAsia="Times New Roman" w:hAnsi="Times New Roman"/>
                <w:sz w:val="18"/>
                <w:szCs w:val="18"/>
                <w:lang w:val="ru-RU" w:eastAsia="ru-RU"/>
              </w:rPr>
              <w:t>наказу № 945,</w:t>
            </w:r>
            <w:r w:rsidRPr="00650B37">
              <w:rPr>
                <w:rFonts w:ascii="Times New Roman" w:eastAsia="Times New Roman" w:hAnsi="Times New Roman"/>
                <w:b/>
                <w:bCs/>
                <w:sz w:val="18"/>
                <w:szCs w:val="18"/>
                <w:lang w:val="ru-RU" w:eastAsia="ru-RU"/>
              </w:rPr>
              <w:t xml:space="preserve"> 0 балів у колонці 7</w:t>
            </w:r>
            <w:r w:rsidRPr="00650B37">
              <w:rPr>
                <w:rFonts w:ascii="Times New Roman" w:eastAsia="Times New Roman" w:hAnsi="Times New Roman"/>
                <w:sz w:val="18"/>
                <w:szCs w:val="18"/>
                <w:lang w:val="ru-RU" w:eastAsia="ru-RU"/>
              </w:rPr>
              <w:t xml:space="preserve">.  БЗ не наданий і не створювався, </w:t>
            </w:r>
            <w:r w:rsidRPr="00650B37">
              <w:rPr>
                <w:rFonts w:ascii="Times New Roman" w:eastAsia="Times New Roman" w:hAnsi="Times New Roman"/>
                <w:b/>
                <w:bCs/>
                <w:sz w:val="18"/>
                <w:szCs w:val="18"/>
                <w:lang w:val="ru-RU" w:eastAsia="ru-RU"/>
              </w:rPr>
              <w:t>0 балів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3600"/>
        </w:trPr>
        <w:tc>
          <w:tcPr>
            <w:tcW w:w="866" w:type="dxa"/>
            <w:tcBorders>
              <w:top w:val="nil"/>
              <w:left w:val="single" w:sz="4" w:space="0" w:color="auto"/>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0119110</w:t>
            </w:r>
          </w:p>
        </w:tc>
        <w:tc>
          <w:tcPr>
            <w:tcW w:w="155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Охорона та раціональне використання природних ресурсів</w:t>
            </w:r>
          </w:p>
        </w:tc>
        <w:tc>
          <w:tcPr>
            <w:tcW w:w="6379"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xml:space="preserve">Наказами Мінфіну №№ 945 та 1195 мета, завдання, показники програми не унормовано. Розробник застосував мету і завдання "Забезпечення охорони та раціонального використання природних ресурсів", а справжнє завдання розкрив у єдиному для всієї програми показнику затрат "придбання садженців дерев,кущів,насіння для газонів, тис.грн". Звісно, звідти незрозуміло ані кількісні показники (кількість саджанців в розрізі видів та сортів), ані подальше застосування цих саджанців відповідно до мети програми (наприклад, площі комунальних ділянок, що потребують нового озеленення/відновлення рослинності, кількість та вартість задіяних при висадженні і подальшому догляді трудових ресурсів). Відсутність показників ефективності не дає можливості оцінити вартість саджанця в розрізі видів, трудове навантаження по висадженню і догляду на 1 працівника бюджетної сфери. Відсутність показників якості не дає можливості порівняти результати з озелененням минулих років, а також оцінити відсоток дерев, що прижилися за підсумками року. Є також формальне порушення - роботи і послуги з озеленення містяться в іншій бюджетній програмі, з унормованими показниками, а саме,  завдання № 5 "Збереження та утримання на належному рівні зеленої зони населеного пункту та поліпшення його екологічних умов" бюджетної програми "Благоустрій міст, сіл, селищ (КТКВК 100203)" за КПК ХХХ6060, яка до того ж задіяна в бюджеті громади. Т.ч. ПБП </w:t>
            </w:r>
            <w:r w:rsidRPr="00650B37">
              <w:rPr>
                <w:rFonts w:ascii="Times New Roman" w:eastAsia="Times New Roman" w:hAnsi="Times New Roman"/>
                <w:b/>
                <w:bCs/>
                <w:sz w:val="18"/>
                <w:szCs w:val="18"/>
                <w:lang w:val="ru-RU" w:eastAsia="ru-RU"/>
              </w:rPr>
              <w:t>не відповідає</w:t>
            </w:r>
            <w:r w:rsidRPr="00650B37">
              <w:rPr>
                <w:rFonts w:ascii="Times New Roman" w:eastAsia="Times New Roman" w:hAnsi="Times New Roman"/>
                <w:sz w:val="18"/>
                <w:szCs w:val="18"/>
                <w:lang w:val="ru-RU" w:eastAsia="ru-RU"/>
              </w:rPr>
              <w:t xml:space="preserve"> наказам № 1195 та 945, </w:t>
            </w:r>
            <w:r w:rsidRPr="00650B37">
              <w:rPr>
                <w:rFonts w:ascii="Times New Roman" w:eastAsia="Times New Roman" w:hAnsi="Times New Roman"/>
                <w:b/>
                <w:bCs/>
                <w:sz w:val="18"/>
                <w:szCs w:val="18"/>
                <w:lang w:val="ru-RU" w:eastAsia="ru-RU"/>
              </w:rPr>
              <w:t>0 балів у колонці 7</w:t>
            </w:r>
            <w:r w:rsidRPr="00650B37">
              <w:rPr>
                <w:rFonts w:ascii="Times New Roman" w:eastAsia="Times New Roman" w:hAnsi="Times New Roman"/>
                <w:sz w:val="18"/>
                <w:szCs w:val="18"/>
                <w:lang w:val="ru-RU" w:eastAsia="ru-RU"/>
              </w:rPr>
              <w:t xml:space="preserve">. БЗ не наданий і не створювався, </w:t>
            </w:r>
            <w:r w:rsidRPr="00650B37">
              <w:rPr>
                <w:rFonts w:ascii="Times New Roman" w:eastAsia="Times New Roman" w:hAnsi="Times New Roman"/>
                <w:b/>
                <w:bCs/>
                <w:sz w:val="18"/>
                <w:szCs w:val="18"/>
                <w:lang w:val="ru-RU" w:eastAsia="ru-RU"/>
              </w:rPr>
              <w:t>0 балів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96"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jc w:val="center"/>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1</w:t>
            </w:r>
          </w:p>
        </w:tc>
      </w:tr>
      <w:tr w:rsidR="00650B37" w:rsidRPr="00650B37" w:rsidTr="00650B37">
        <w:trPr>
          <w:trHeight w:val="420"/>
        </w:trPr>
        <w:tc>
          <w:tcPr>
            <w:tcW w:w="9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Разом кількість БП</w:t>
            </w:r>
          </w:p>
        </w:tc>
        <w:tc>
          <w:tcPr>
            <w:tcW w:w="440" w:type="dxa"/>
            <w:tcBorders>
              <w:top w:val="nil"/>
              <w:left w:val="nil"/>
              <w:bottom w:val="single" w:sz="4" w:space="0" w:color="auto"/>
              <w:right w:val="single" w:sz="4" w:space="0" w:color="auto"/>
            </w:tcBorders>
            <w:shd w:val="clear" w:color="auto" w:fill="auto"/>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650B37" w:rsidRPr="00650B37" w:rsidRDefault="00650B37" w:rsidP="00650B37">
            <w:pPr>
              <w:spacing w:after="0" w:line="240" w:lineRule="auto"/>
              <w:rPr>
                <w:rFonts w:ascii="Times New Roman" w:eastAsia="Times New Roman" w:hAnsi="Times New Roman"/>
                <w:sz w:val="18"/>
                <w:szCs w:val="18"/>
                <w:lang w:val="ru-RU" w:eastAsia="ru-RU"/>
              </w:rPr>
            </w:pPr>
            <w:r w:rsidRPr="00650B37">
              <w:rPr>
                <w:rFonts w:ascii="Times New Roman" w:eastAsia="Times New Roman" w:hAnsi="Times New Roman"/>
                <w:sz w:val="18"/>
                <w:szCs w:val="18"/>
                <w:lang w:val="ru-RU" w:eastAsia="ru-RU"/>
              </w:rPr>
              <w:t> </w:t>
            </w:r>
          </w:p>
        </w:tc>
        <w:tc>
          <w:tcPr>
            <w:tcW w:w="460" w:type="dxa"/>
            <w:tcBorders>
              <w:top w:val="nil"/>
              <w:left w:val="nil"/>
              <w:bottom w:val="single" w:sz="4" w:space="0" w:color="auto"/>
              <w:right w:val="single" w:sz="4" w:space="0" w:color="auto"/>
            </w:tcBorders>
            <w:shd w:val="clear" w:color="000000" w:fill="FFFFFF"/>
            <w:vAlign w:val="center"/>
            <w:hideMark/>
          </w:tcPr>
          <w:p w:rsidR="00650B37" w:rsidRPr="00650B37" w:rsidRDefault="00650B37" w:rsidP="00650B37">
            <w:pPr>
              <w:spacing w:after="0" w:line="240" w:lineRule="auto"/>
              <w:rPr>
                <w:rFonts w:ascii="Times New Roman" w:eastAsia="Times New Roman" w:hAnsi="Times New Roman"/>
                <w:b/>
                <w:bCs/>
                <w:sz w:val="18"/>
                <w:szCs w:val="18"/>
                <w:lang w:val="ru-RU" w:eastAsia="ru-RU"/>
              </w:rPr>
            </w:pPr>
            <w:r w:rsidRPr="00650B37">
              <w:rPr>
                <w:rFonts w:ascii="Times New Roman" w:eastAsia="Times New Roman" w:hAnsi="Times New Roman"/>
                <w:b/>
                <w:bCs/>
                <w:sz w:val="18"/>
                <w:szCs w:val="18"/>
                <w:lang w:val="ru-RU" w:eastAsia="ru-RU"/>
              </w:rPr>
              <w:t>8</w:t>
            </w:r>
          </w:p>
        </w:tc>
      </w:tr>
    </w:tbl>
    <w:p w:rsidR="007A2C9C" w:rsidRPr="00D71C9A" w:rsidRDefault="007A2C9C" w:rsidP="00C869A3">
      <w:pPr>
        <w:spacing w:after="0" w:line="240" w:lineRule="auto"/>
        <w:rPr>
          <w:rFonts w:ascii="Times New Roman" w:hAnsi="Times New Roman"/>
        </w:rPr>
      </w:pPr>
    </w:p>
    <w:sectPr w:rsidR="007A2C9C" w:rsidRPr="00D71C9A" w:rsidSect="00650B37">
      <w:pgSz w:w="11906" w:h="16838"/>
      <w:pgMar w:top="851" w:right="850"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9A" w:rsidRDefault="0026079A" w:rsidP="004E35DC">
      <w:pPr>
        <w:spacing w:after="0" w:line="240" w:lineRule="auto"/>
      </w:pPr>
      <w:r>
        <w:separator/>
      </w:r>
    </w:p>
  </w:endnote>
  <w:endnote w:type="continuationSeparator" w:id="1">
    <w:p w:rsidR="0026079A" w:rsidRDefault="0026079A" w:rsidP="004E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9A" w:rsidRDefault="0026079A" w:rsidP="004E35DC">
      <w:pPr>
        <w:spacing w:after="0" w:line="240" w:lineRule="auto"/>
      </w:pPr>
      <w:r>
        <w:separator/>
      </w:r>
    </w:p>
  </w:footnote>
  <w:footnote w:type="continuationSeparator" w:id="1">
    <w:p w:rsidR="0026079A" w:rsidRDefault="0026079A" w:rsidP="004E3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44C"/>
    <w:multiLevelType w:val="hybridMultilevel"/>
    <w:tmpl w:val="A732C7E8"/>
    <w:lvl w:ilvl="0" w:tplc="05F603D6">
      <w:start w:val="1"/>
      <w:numFmt w:val="decimal"/>
      <w:lvlText w:val="%1."/>
      <w:lvlJc w:val="left"/>
      <w:pPr>
        <w:ind w:left="72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84930"/>
    <w:multiLevelType w:val="hybridMultilevel"/>
    <w:tmpl w:val="04AC776E"/>
    <w:lvl w:ilvl="0" w:tplc="F5D207F0">
      <w:start w:val="1"/>
      <w:numFmt w:val="decimal"/>
      <w:lvlText w:val="%1."/>
      <w:lvlJc w:val="left"/>
      <w:pPr>
        <w:ind w:left="540" w:hanging="360"/>
      </w:pPr>
      <w:rPr>
        <w:rFonts w:ascii="Book Antiqua" w:eastAsiaTheme="minorHAnsi" w:hAnsi="Book Antiqua"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24D7BE1"/>
    <w:multiLevelType w:val="multilevel"/>
    <w:tmpl w:val="7FE4C4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5EDE38B0"/>
    <w:multiLevelType w:val="hybridMultilevel"/>
    <w:tmpl w:val="14509986"/>
    <w:lvl w:ilvl="0" w:tplc="6A2C82A2">
      <w:start w:val="1"/>
      <w:numFmt w:val="decimal"/>
      <w:lvlText w:val="%1"/>
      <w:lvlJc w:val="left"/>
      <w:pPr>
        <w:ind w:left="1440" w:hanging="360"/>
      </w:pPr>
      <w:rPr>
        <w:rFonts w:eastAsia="Times New Roman"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0307B"/>
    <w:multiLevelType w:val="hybridMultilevel"/>
    <w:tmpl w:val="A25E7E4E"/>
    <w:lvl w:ilvl="0" w:tplc="06E84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A1EBF"/>
    <w:multiLevelType w:val="hybridMultilevel"/>
    <w:tmpl w:val="C4B4B2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8"/>
  </w:num>
  <w:num w:numId="4">
    <w:abstractNumId w:val="3"/>
  </w:num>
  <w:num w:numId="5">
    <w:abstractNumId w:val="5"/>
  </w:num>
  <w:num w:numId="6">
    <w:abstractNumId w:val="9"/>
  </w:num>
  <w:num w:numId="7">
    <w:abstractNumId w:val="10"/>
  </w:num>
  <w:num w:numId="8">
    <w:abstractNumId w:val="6"/>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6409CC"/>
    <w:rsid w:val="00011504"/>
    <w:rsid w:val="000225B0"/>
    <w:rsid w:val="0002263B"/>
    <w:rsid w:val="00033AE2"/>
    <w:rsid w:val="000410DD"/>
    <w:rsid w:val="00050F91"/>
    <w:rsid w:val="000519C5"/>
    <w:rsid w:val="00062291"/>
    <w:rsid w:val="00082B94"/>
    <w:rsid w:val="00084B03"/>
    <w:rsid w:val="00095252"/>
    <w:rsid w:val="000B30C2"/>
    <w:rsid w:val="000B3AFD"/>
    <w:rsid w:val="000D089D"/>
    <w:rsid w:val="000D5FBC"/>
    <w:rsid w:val="001167EE"/>
    <w:rsid w:val="00130FB4"/>
    <w:rsid w:val="001318E4"/>
    <w:rsid w:val="00143175"/>
    <w:rsid w:val="00164183"/>
    <w:rsid w:val="00184538"/>
    <w:rsid w:val="00196AB9"/>
    <w:rsid w:val="001D42A0"/>
    <w:rsid w:val="001D4CC5"/>
    <w:rsid w:val="001D5103"/>
    <w:rsid w:val="001E3073"/>
    <w:rsid w:val="001E6D29"/>
    <w:rsid w:val="002053CB"/>
    <w:rsid w:val="00206C3A"/>
    <w:rsid w:val="00221BE4"/>
    <w:rsid w:val="002279B4"/>
    <w:rsid w:val="0026079A"/>
    <w:rsid w:val="00262BE3"/>
    <w:rsid w:val="00265C43"/>
    <w:rsid w:val="002733BA"/>
    <w:rsid w:val="00277785"/>
    <w:rsid w:val="0028231B"/>
    <w:rsid w:val="00287D77"/>
    <w:rsid w:val="002A1409"/>
    <w:rsid w:val="002A447A"/>
    <w:rsid w:val="002A5855"/>
    <w:rsid w:val="002C01EF"/>
    <w:rsid w:val="002C186C"/>
    <w:rsid w:val="002D4DA7"/>
    <w:rsid w:val="002D7534"/>
    <w:rsid w:val="002F5CBD"/>
    <w:rsid w:val="00347650"/>
    <w:rsid w:val="00373728"/>
    <w:rsid w:val="00383D85"/>
    <w:rsid w:val="003868E9"/>
    <w:rsid w:val="003A0E3F"/>
    <w:rsid w:val="003A1166"/>
    <w:rsid w:val="003A5237"/>
    <w:rsid w:val="003B0ADD"/>
    <w:rsid w:val="003B33C0"/>
    <w:rsid w:val="003B7968"/>
    <w:rsid w:val="003C37F5"/>
    <w:rsid w:val="003C47BC"/>
    <w:rsid w:val="003C4C76"/>
    <w:rsid w:val="003E1353"/>
    <w:rsid w:val="003E1533"/>
    <w:rsid w:val="00403484"/>
    <w:rsid w:val="004054B2"/>
    <w:rsid w:val="0044183E"/>
    <w:rsid w:val="004513D2"/>
    <w:rsid w:val="00477258"/>
    <w:rsid w:val="0048514B"/>
    <w:rsid w:val="004A3816"/>
    <w:rsid w:val="004B29D3"/>
    <w:rsid w:val="004B2FB0"/>
    <w:rsid w:val="004C573D"/>
    <w:rsid w:val="004D2928"/>
    <w:rsid w:val="004D3FB1"/>
    <w:rsid w:val="004D6402"/>
    <w:rsid w:val="004E1D7F"/>
    <w:rsid w:val="004E35DC"/>
    <w:rsid w:val="00504879"/>
    <w:rsid w:val="00520F00"/>
    <w:rsid w:val="00522D3C"/>
    <w:rsid w:val="00525939"/>
    <w:rsid w:val="00527178"/>
    <w:rsid w:val="00546053"/>
    <w:rsid w:val="00552B1A"/>
    <w:rsid w:val="005579AA"/>
    <w:rsid w:val="005600EB"/>
    <w:rsid w:val="0057245E"/>
    <w:rsid w:val="005773EA"/>
    <w:rsid w:val="005819D6"/>
    <w:rsid w:val="00586586"/>
    <w:rsid w:val="00594CFD"/>
    <w:rsid w:val="005B1684"/>
    <w:rsid w:val="005D2AAE"/>
    <w:rsid w:val="005E30FC"/>
    <w:rsid w:val="005F331A"/>
    <w:rsid w:val="005F5698"/>
    <w:rsid w:val="006014FB"/>
    <w:rsid w:val="00604646"/>
    <w:rsid w:val="00611373"/>
    <w:rsid w:val="00626C4D"/>
    <w:rsid w:val="00637246"/>
    <w:rsid w:val="006409CC"/>
    <w:rsid w:val="00650B37"/>
    <w:rsid w:val="006535BA"/>
    <w:rsid w:val="00661772"/>
    <w:rsid w:val="00677561"/>
    <w:rsid w:val="006873EA"/>
    <w:rsid w:val="00694113"/>
    <w:rsid w:val="006A032E"/>
    <w:rsid w:val="006F6FB3"/>
    <w:rsid w:val="007164C0"/>
    <w:rsid w:val="00723075"/>
    <w:rsid w:val="00723BE6"/>
    <w:rsid w:val="00732EFE"/>
    <w:rsid w:val="00736673"/>
    <w:rsid w:val="00754155"/>
    <w:rsid w:val="007600CE"/>
    <w:rsid w:val="00762C6D"/>
    <w:rsid w:val="007658CD"/>
    <w:rsid w:val="0077739F"/>
    <w:rsid w:val="0078510D"/>
    <w:rsid w:val="007903AD"/>
    <w:rsid w:val="00793F48"/>
    <w:rsid w:val="007A2C9C"/>
    <w:rsid w:val="007A2E64"/>
    <w:rsid w:val="007B48A0"/>
    <w:rsid w:val="007D66FA"/>
    <w:rsid w:val="00802071"/>
    <w:rsid w:val="00811F9C"/>
    <w:rsid w:val="00816EE1"/>
    <w:rsid w:val="00833550"/>
    <w:rsid w:val="00834D1C"/>
    <w:rsid w:val="00836CE3"/>
    <w:rsid w:val="0083763F"/>
    <w:rsid w:val="00837931"/>
    <w:rsid w:val="008409AD"/>
    <w:rsid w:val="00842E0E"/>
    <w:rsid w:val="00844C82"/>
    <w:rsid w:val="00861CF4"/>
    <w:rsid w:val="008662BA"/>
    <w:rsid w:val="0087443B"/>
    <w:rsid w:val="00880D12"/>
    <w:rsid w:val="00882158"/>
    <w:rsid w:val="008858B2"/>
    <w:rsid w:val="00890112"/>
    <w:rsid w:val="00892DB7"/>
    <w:rsid w:val="00894214"/>
    <w:rsid w:val="00894EBE"/>
    <w:rsid w:val="008961FE"/>
    <w:rsid w:val="008A4CE5"/>
    <w:rsid w:val="008E0D1C"/>
    <w:rsid w:val="008F0FB8"/>
    <w:rsid w:val="008F17DB"/>
    <w:rsid w:val="009021E3"/>
    <w:rsid w:val="0090262A"/>
    <w:rsid w:val="00905954"/>
    <w:rsid w:val="00940C2B"/>
    <w:rsid w:val="009908E4"/>
    <w:rsid w:val="009C0E43"/>
    <w:rsid w:val="009E146E"/>
    <w:rsid w:val="009E212D"/>
    <w:rsid w:val="009E3D6E"/>
    <w:rsid w:val="00A14606"/>
    <w:rsid w:val="00A20BD4"/>
    <w:rsid w:val="00A251E3"/>
    <w:rsid w:val="00A260B3"/>
    <w:rsid w:val="00A40B09"/>
    <w:rsid w:val="00A7228F"/>
    <w:rsid w:val="00A809FD"/>
    <w:rsid w:val="00A83FD4"/>
    <w:rsid w:val="00AB4D4D"/>
    <w:rsid w:val="00AE1FD4"/>
    <w:rsid w:val="00B00635"/>
    <w:rsid w:val="00B128C4"/>
    <w:rsid w:val="00B32A33"/>
    <w:rsid w:val="00B456A3"/>
    <w:rsid w:val="00B62671"/>
    <w:rsid w:val="00B767DF"/>
    <w:rsid w:val="00B84F70"/>
    <w:rsid w:val="00BA6BC9"/>
    <w:rsid w:val="00BB1555"/>
    <w:rsid w:val="00BC1018"/>
    <w:rsid w:val="00BD0AF0"/>
    <w:rsid w:val="00BD1541"/>
    <w:rsid w:val="00BE1A93"/>
    <w:rsid w:val="00BE6F87"/>
    <w:rsid w:val="00BF422D"/>
    <w:rsid w:val="00C151C4"/>
    <w:rsid w:val="00C23675"/>
    <w:rsid w:val="00C3018B"/>
    <w:rsid w:val="00C45697"/>
    <w:rsid w:val="00C53AF5"/>
    <w:rsid w:val="00C571FE"/>
    <w:rsid w:val="00C625FC"/>
    <w:rsid w:val="00C703A6"/>
    <w:rsid w:val="00C74C8A"/>
    <w:rsid w:val="00C754AF"/>
    <w:rsid w:val="00C774E7"/>
    <w:rsid w:val="00C869A3"/>
    <w:rsid w:val="00C9756E"/>
    <w:rsid w:val="00CA7633"/>
    <w:rsid w:val="00CF0EA5"/>
    <w:rsid w:val="00D0629A"/>
    <w:rsid w:val="00D14FA4"/>
    <w:rsid w:val="00D1504A"/>
    <w:rsid w:val="00D233A4"/>
    <w:rsid w:val="00D34DE4"/>
    <w:rsid w:val="00D42212"/>
    <w:rsid w:val="00D424AA"/>
    <w:rsid w:val="00D5701A"/>
    <w:rsid w:val="00D575F1"/>
    <w:rsid w:val="00D71C9A"/>
    <w:rsid w:val="00D82236"/>
    <w:rsid w:val="00D827B6"/>
    <w:rsid w:val="00D8459C"/>
    <w:rsid w:val="00DA0F29"/>
    <w:rsid w:val="00DA1F12"/>
    <w:rsid w:val="00DA5BAD"/>
    <w:rsid w:val="00DB5BE6"/>
    <w:rsid w:val="00DB65E9"/>
    <w:rsid w:val="00DB66E7"/>
    <w:rsid w:val="00DC6C35"/>
    <w:rsid w:val="00DD1186"/>
    <w:rsid w:val="00DD4C22"/>
    <w:rsid w:val="00DE534E"/>
    <w:rsid w:val="00DF1FEF"/>
    <w:rsid w:val="00DF4267"/>
    <w:rsid w:val="00E009AC"/>
    <w:rsid w:val="00E03258"/>
    <w:rsid w:val="00E0554F"/>
    <w:rsid w:val="00E178C2"/>
    <w:rsid w:val="00E344A8"/>
    <w:rsid w:val="00E47C7E"/>
    <w:rsid w:val="00E8300D"/>
    <w:rsid w:val="00E92E98"/>
    <w:rsid w:val="00E92EA1"/>
    <w:rsid w:val="00E930D4"/>
    <w:rsid w:val="00EB12A8"/>
    <w:rsid w:val="00EB1558"/>
    <w:rsid w:val="00ED783E"/>
    <w:rsid w:val="00EE15A8"/>
    <w:rsid w:val="00EE2253"/>
    <w:rsid w:val="00EE3B64"/>
    <w:rsid w:val="00EF3758"/>
    <w:rsid w:val="00F263E8"/>
    <w:rsid w:val="00F35975"/>
    <w:rsid w:val="00F51ED8"/>
    <w:rsid w:val="00F76A2C"/>
    <w:rsid w:val="00F83D5A"/>
    <w:rsid w:val="00F9593C"/>
    <w:rsid w:val="00F96BEE"/>
    <w:rsid w:val="00FB6EC4"/>
    <w:rsid w:val="00FD2A65"/>
    <w:rsid w:val="00FD78F9"/>
    <w:rsid w:val="00FE31BF"/>
    <w:rsid w:val="00FE7F6F"/>
    <w:rsid w:val="00FF2360"/>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paragraph" w:styleId="HTML">
    <w:name w:val="HTML Preformatted"/>
    <w:basedOn w:val="a"/>
    <w:link w:val="HTML0"/>
    <w:uiPriority w:val="99"/>
    <w:unhideWhenUsed/>
    <w:rsid w:val="0089011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90112"/>
    <w:rPr>
      <w:rFonts w:ascii="Consolas" w:hAnsi="Consola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paragraph" w:styleId="HTML">
    <w:name w:val="HTML Preformatted"/>
    <w:basedOn w:val="a"/>
    <w:link w:val="HTML0"/>
    <w:uiPriority w:val="99"/>
    <w:unhideWhenUsed/>
    <w:rsid w:val="0089011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90112"/>
    <w:rPr>
      <w:rFonts w:ascii="Consolas" w:hAnsi="Consolas"/>
      <w:sz w:val="20"/>
      <w:szCs w:val="20"/>
      <w:lang w:val="uk-UA"/>
    </w:rPr>
  </w:style>
</w:styles>
</file>

<file path=word/webSettings.xml><?xml version="1.0" encoding="utf-8"?>
<w:webSettings xmlns:r="http://schemas.openxmlformats.org/officeDocument/2006/relationships" xmlns:w="http://schemas.openxmlformats.org/wordprocessingml/2006/main">
  <w:divs>
    <w:div w:id="204568052">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sChild>
        <w:div w:id="1913352080">
          <w:marLeft w:val="0"/>
          <w:marRight w:val="0"/>
          <w:marTop w:val="0"/>
          <w:marBottom w:val="0"/>
          <w:divBdr>
            <w:top w:val="none" w:sz="0" w:space="0" w:color="auto"/>
            <w:left w:val="none" w:sz="0" w:space="0" w:color="auto"/>
            <w:bottom w:val="none" w:sz="0" w:space="0" w:color="auto"/>
            <w:right w:val="none" w:sz="0" w:space="0" w:color="auto"/>
          </w:divBdr>
        </w:div>
      </w:divsChild>
    </w:div>
    <w:div w:id="355540319">
      <w:bodyDiv w:val="1"/>
      <w:marLeft w:val="0"/>
      <w:marRight w:val="0"/>
      <w:marTop w:val="0"/>
      <w:marBottom w:val="0"/>
      <w:divBdr>
        <w:top w:val="none" w:sz="0" w:space="0" w:color="auto"/>
        <w:left w:val="none" w:sz="0" w:space="0" w:color="auto"/>
        <w:bottom w:val="none" w:sz="0" w:space="0" w:color="auto"/>
        <w:right w:val="none" w:sz="0" w:space="0" w:color="auto"/>
      </w:divBdr>
    </w:div>
    <w:div w:id="524633655">
      <w:bodyDiv w:val="1"/>
      <w:marLeft w:val="0"/>
      <w:marRight w:val="0"/>
      <w:marTop w:val="0"/>
      <w:marBottom w:val="0"/>
      <w:divBdr>
        <w:top w:val="none" w:sz="0" w:space="0" w:color="auto"/>
        <w:left w:val="none" w:sz="0" w:space="0" w:color="auto"/>
        <w:bottom w:val="none" w:sz="0" w:space="0" w:color="auto"/>
        <w:right w:val="none" w:sz="0" w:space="0" w:color="auto"/>
      </w:divBdr>
      <w:divsChild>
        <w:div w:id="1410034015">
          <w:marLeft w:val="0"/>
          <w:marRight w:val="0"/>
          <w:marTop w:val="125"/>
          <w:marBottom w:val="125"/>
          <w:divBdr>
            <w:top w:val="none" w:sz="0" w:space="0" w:color="auto"/>
            <w:left w:val="none" w:sz="0" w:space="0" w:color="auto"/>
            <w:bottom w:val="none" w:sz="0" w:space="0" w:color="auto"/>
            <w:right w:val="none" w:sz="0" w:space="0" w:color="auto"/>
          </w:divBdr>
        </w:div>
      </w:divsChild>
    </w:div>
    <w:div w:id="753669888">
      <w:bodyDiv w:val="1"/>
      <w:marLeft w:val="0"/>
      <w:marRight w:val="0"/>
      <w:marTop w:val="0"/>
      <w:marBottom w:val="0"/>
      <w:divBdr>
        <w:top w:val="none" w:sz="0" w:space="0" w:color="auto"/>
        <w:left w:val="none" w:sz="0" w:space="0" w:color="auto"/>
        <w:bottom w:val="none" w:sz="0" w:space="0" w:color="auto"/>
        <w:right w:val="none" w:sz="0" w:space="0" w:color="auto"/>
      </w:divBdr>
    </w:div>
    <w:div w:id="775173181">
      <w:bodyDiv w:val="1"/>
      <w:marLeft w:val="0"/>
      <w:marRight w:val="0"/>
      <w:marTop w:val="0"/>
      <w:marBottom w:val="0"/>
      <w:divBdr>
        <w:top w:val="none" w:sz="0" w:space="0" w:color="auto"/>
        <w:left w:val="none" w:sz="0" w:space="0" w:color="auto"/>
        <w:bottom w:val="none" w:sz="0" w:space="0" w:color="auto"/>
        <w:right w:val="none" w:sz="0" w:space="0" w:color="auto"/>
      </w:divBdr>
    </w:div>
    <w:div w:id="790586009">
      <w:bodyDiv w:val="1"/>
      <w:marLeft w:val="0"/>
      <w:marRight w:val="0"/>
      <w:marTop w:val="0"/>
      <w:marBottom w:val="0"/>
      <w:divBdr>
        <w:top w:val="none" w:sz="0" w:space="0" w:color="auto"/>
        <w:left w:val="none" w:sz="0" w:space="0" w:color="auto"/>
        <w:bottom w:val="none" w:sz="0" w:space="0" w:color="auto"/>
        <w:right w:val="none" w:sz="0" w:space="0" w:color="auto"/>
      </w:divBdr>
    </w:div>
    <w:div w:id="804355772">
      <w:bodyDiv w:val="1"/>
      <w:marLeft w:val="0"/>
      <w:marRight w:val="0"/>
      <w:marTop w:val="0"/>
      <w:marBottom w:val="0"/>
      <w:divBdr>
        <w:top w:val="none" w:sz="0" w:space="0" w:color="auto"/>
        <w:left w:val="none" w:sz="0" w:space="0" w:color="auto"/>
        <w:bottom w:val="none" w:sz="0" w:space="0" w:color="auto"/>
        <w:right w:val="none" w:sz="0" w:space="0" w:color="auto"/>
      </w:divBdr>
    </w:div>
    <w:div w:id="806749839">
      <w:bodyDiv w:val="1"/>
      <w:marLeft w:val="0"/>
      <w:marRight w:val="0"/>
      <w:marTop w:val="0"/>
      <w:marBottom w:val="0"/>
      <w:divBdr>
        <w:top w:val="none" w:sz="0" w:space="0" w:color="auto"/>
        <w:left w:val="none" w:sz="0" w:space="0" w:color="auto"/>
        <w:bottom w:val="none" w:sz="0" w:space="0" w:color="auto"/>
        <w:right w:val="none" w:sz="0" w:space="0" w:color="auto"/>
      </w:divBdr>
    </w:div>
    <w:div w:id="808670302">
      <w:bodyDiv w:val="1"/>
      <w:marLeft w:val="0"/>
      <w:marRight w:val="0"/>
      <w:marTop w:val="0"/>
      <w:marBottom w:val="0"/>
      <w:divBdr>
        <w:top w:val="none" w:sz="0" w:space="0" w:color="auto"/>
        <w:left w:val="none" w:sz="0" w:space="0" w:color="auto"/>
        <w:bottom w:val="none" w:sz="0" w:space="0" w:color="auto"/>
        <w:right w:val="none" w:sz="0" w:space="0" w:color="auto"/>
      </w:divBdr>
    </w:div>
    <w:div w:id="831872407">
      <w:bodyDiv w:val="1"/>
      <w:marLeft w:val="0"/>
      <w:marRight w:val="0"/>
      <w:marTop w:val="0"/>
      <w:marBottom w:val="0"/>
      <w:divBdr>
        <w:top w:val="none" w:sz="0" w:space="0" w:color="auto"/>
        <w:left w:val="none" w:sz="0" w:space="0" w:color="auto"/>
        <w:bottom w:val="none" w:sz="0" w:space="0" w:color="auto"/>
        <w:right w:val="none" w:sz="0" w:space="0" w:color="auto"/>
      </w:divBdr>
    </w:div>
    <w:div w:id="879978768">
      <w:bodyDiv w:val="1"/>
      <w:marLeft w:val="0"/>
      <w:marRight w:val="0"/>
      <w:marTop w:val="0"/>
      <w:marBottom w:val="0"/>
      <w:divBdr>
        <w:top w:val="none" w:sz="0" w:space="0" w:color="auto"/>
        <w:left w:val="none" w:sz="0" w:space="0" w:color="auto"/>
        <w:bottom w:val="none" w:sz="0" w:space="0" w:color="auto"/>
        <w:right w:val="none" w:sz="0" w:space="0" w:color="auto"/>
      </w:divBdr>
    </w:div>
    <w:div w:id="926617575">
      <w:bodyDiv w:val="1"/>
      <w:marLeft w:val="0"/>
      <w:marRight w:val="0"/>
      <w:marTop w:val="0"/>
      <w:marBottom w:val="0"/>
      <w:divBdr>
        <w:top w:val="none" w:sz="0" w:space="0" w:color="auto"/>
        <w:left w:val="none" w:sz="0" w:space="0" w:color="auto"/>
        <w:bottom w:val="none" w:sz="0" w:space="0" w:color="auto"/>
        <w:right w:val="none" w:sz="0" w:space="0" w:color="auto"/>
      </w:divBdr>
    </w:div>
    <w:div w:id="967513692">
      <w:bodyDiv w:val="1"/>
      <w:marLeft w:val="0"/>
      <w:marRight w:val="0"/>
      <w:marTop w:val="0"/>
      <w:marBottom w:val="0"/>
      <w:divBdr>
        <w:top w:val="none" w:sz="0" w:space="0" w:color="auto"/>
        <w:left w:val="none" w:sz="0" w:space="0" w:color="auto"/>
        <w:bottom w:val="none" w:sz="0" w:space="0" w:color="auto"/>
        <w:right w:val="none" w:sz="0" w:space="0" w:color="auto"/>
      </w:divBdr>
    </w:div>
    <w:div w:id="1000038202">
      <w:bodyDiv w:val="1"/>
      <w:marLeft w:val="0"/>
      <w:marRight w:val="0"/>
      <w:marTop w:val="0"/>
      <w:marBottom w:val="0"/>
      <w:divBdr>
        <w:top w:val="none" w:sz="0" w:space="0" w:color="auto"/>
        <w:left w:val="none" w:sz="0" w:space="0" w:color="auto"/>
        <w:bottom w:val="none" w:sz="0" w:space="0" w:color="auto"/>
        <w:right w:val="none" w:sz="0" w:space="0" w:color="auto"/>
      </w:divBdr>
    </w:div>
    <w:div w:id="1099638095">
      <w:bodyDiv w:val="1"/>
      <w:marLeft w:val="0"/>
      <w:marRight w:val="0"/>
      <w:marTop w:val="0"/>
      <w:marBottom w:val="0"/>
      <w:divBdr>
        <w:top w:val="none" w:sz="0" w:space="0" w:color="auto"/>
        <w:left w:val="none" w:sz="0" w:space="0" w:color="auto"/>
        <w:bottom w:val="none" w:sz="0" w:space="0" w:color="auto"/>
        <w:right w:val="none" w:sz="0" w:space="0" w:color="auto"/>
      </w:divBdr>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230842651">
      <w:bodyDiv w:val="1"/>
      <w:marLeft w:val="0"/>
      <w:marRight w:val="0"/>
      <w:marTop w:val="0"/>
      <w:marBottom w:val="0"/>
      <w:divBdr>
        <w:top w:val="none" w:sz="0" w:space="0" w:color="auto"/>
        <w:left w:val="none" w:sz="0" w:space="0" w:color="auto"/>
        <w:bottom w:val="none" w:sz="0" w:space="0" w:color="auto"/>
        <w:right w:val="none" w:sz="0" w:space="0" w:color="auto"/>
      </w:divBdr>
      <w:divsChild>
        <w:div w:id="859009127">
          <w:marLeft w:val="0"/>
          <w:marRight w:val="0"/>
          <w:marTop w:val="0"/>
          <w:marBottom w:val="0"/>
          <w:divBdr>
            <w:top w:val="none" w:sz="0" w:space="0" w:color="auto"/>
            <w:left w:val="none" w:sz="0" w:space="0" w:color="auto"/>
            <w:bottom w:val="none" w:sz="0" w:space="0" w:color="auto"/>
            <w:right w:val="none" w:sz="0" w:space="0" w:color="auto"/>
          </w:divBdr>
        </w:div>
      </w:divsChild>
    </w:div>
    <w:div w:id="1333679233">
      <w:bodyDiv w:val="1"/>
      <w:marLeft w:val="0"/>
      <w:marRight w:val="0"/>
      <w:marTop w:val="0"/>
      <w:marBottom w:val="0"/>
      <w:divBdr>
        <w:top w:val="none" w:sz="0" w:space="0" w:color="auto"/>
        <w:left w:val="none" w:sz="0" w:space="0" w:color="auto"/>
        <w:bottom w:val="none" w:sz="0" w:space="0" w:color="auto"/>
        <w:right w:val="none" w:sz="0" w:space="0" w:color="auto"/>
      </w:divBdr>
    </w:div>
    <w:div w:id="1421218538">
      <w:bodyDiv w:val="1"/>
      <w:marLeft w:val="0"/>
      <w:marRight w:val="0"/>
      <w:marTop w:val="0"/>
      <w:marBottom w:val="0"/>
      <w:divBdr>
        <w:top w:val="none" w:sz="0" w:space="0" w:color="auto"/>
        <w:left w:val="none" w:sz="0" w:space="0" w:color="auto"/>
        <w:bottom w:val="none" w:sz="0" w:space="0" w:color="auto"/>
        <w:right w:val="none" w:sz="0" w:space="0" w:color="auto"/>
      </w:divBdr>
    </w:div>
    <w:div w:id="1514566205">
      <w:bodyDiv w:val="1"/>
      <w:marLeft w:val="0"/>
      <w:marRight w:val="0"/>
      <w:marTop w:val="0"/>
      <w:marBottom w:val="0"/>
      <w:divBdr>
        <w:top w:val="none" w:sz="0" w:space="0" w:color="auto"/>
        <w:left w:val="none" w:sz="0" w:space="0" w:color="auto"/>
        <w:bottom w:val="none" w:sz="0" w:space="0" w:color="auto"/>
        <w:right w:val="none" w:sz="0" w:space="0" w:color="auto"/>
      </w:divBdr>
    </w:div>
    <w:div w:id="1634630422">
      <w:bodyDiv w:val="1"/>
      <w:marLeft w:val="0"/>
      <w:marRight w:val="0"/>
      <w:marTop w:val="0"/>
      <w:marBottom w:val="0"/>
      <w:divBdr>
        <w:top w:val="none" w:sz="0" w:space="0" w:color="auto"/>
        <w:left w:val="none" w:sz="0" w:space="0" w:color="auto"/>
        <w:bottom w:val="none" w:sz="0" w:space="0" w:color="auto"/>
        <w:right w:val="none" w:sz="0" w:space="0" w:color="auto"/>
      </w:divBdr>
    </w:div>
    <w:div w:id="1645697009">
      <w:bodyDiv w:val="1"/>
      <w:marLeft w:val="0"/>
      <w:marRight w:val="0"/>
      <w:marTop w:val="0"/>
      <w:marBottom w:val="0"/>
      <w:divBdr>
        <w:top w:val="none" w:sz="0" w:space="0" w:color="auto"/>
        <w:left w:val="none" w:sz="0" w:space="0" w:color="auto"/>
        <w:bottom w:val="none" w:sz="0" w:space="0" w:color="auto"/>
        <w:right w:val="none" w:sz="0" w:space="0" w:color="auto"/>
      </w:divBdr>
    </w:div>
    <w:div w:id="1717314122">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864057085">
      <w:bodyDiv w:val="1"/>
      <w:marLeft w:val="0"/>
      <w:marRight w:val="0"/>
      <w:marTop w:val="0"/>
      <w:marBottom w:val="0"/>
      <w:divBdr>
        <w:top w:val="none" w:sz="0" w:space="0" w:color="auto"/>
        <w:left w:val="none" w:sz="0" w:space="0" w:color="auto"/>
        <w:bottom w:val="none" w:sz="0" w:space="0" w:color="auto"/>
        <w:right w:val="none" w:sz="0" w:space="0" w:color="auto"/>
      </w:divBdr>
    </w:div>
    <w:div w:id="1880899012">
      <w:bodyDiv w:val="1"/>
      <w:marLeft w:val="0"/>
      <w:marRight w:val="0"/>
      <w:marTop w:val="0"/>
      <w:marBottom w:val="0"/>
      <w:divBdr>
        <w:top w:val="none" w:sz="0" w:space="0" w:color="auto"/>
        <w:left w:val="none" w:sz="0" w:space="0" w:color="auto"/>
        <w:bottom w:val="none" w:sz="0" w:space="0" w:color="auto"/>
        <w:right w:val="none" w:sz="0" w:space="0" w:color="auto"/>
      </w:divBdr>
    </w:div>
    <w:div w:id="1939757166">
      <w:bodyDiv w:val="1"/>
      <w:marLeft w:val="0"/>
      <w:marRight w:val="0"/>
      <w:marTop w:val="0"/>
      <w:marBottom w:val="0"/>
      <w:divBdr>
        <w:top w:val="none" w:sz="0" w:space="0" w:color="auto"/>
        <w:left w:val="none" w:sz="0" w:space="0" w:color="auto"/>
        <w:bottom w:val="none" w:sz="0" w:space="0" w:color="auto"/>
        <w:right w:val="none" w:sz="0" w:space="0" w:color="auto"/>
      </w:divBdr>
    </w:div>
    <w:div w:id="1943875412">
      <w:bodyDiv w:val="1"/>
      <w:marLeft w:val="0"/>
      <w:marRight w:val="0"/>
      <w:marTop w:val="0"/>
      <w:marBottom w:val="0"/>
      <w:divBdr>
        <w:top w:val="none" w:sz="0" w:space="0" w:color="auto"/>
        <w:left w:val="none" w:sz="0" w:space="0" w:color="auto"/>
        <w:bottom w:val="none" w:sz="0" w:space="0" w:color="auto"/>
        <w:right w:val="none" w:sz="0" w:space="0" w:color="auto"/>
      </w:divBdr>
    </w:div>
    <w:div w:id="2109570460">
      <w:bodyDiv w:val="1"/>
      <w:marLeft w:val="0"/>
      <w:marRight w:val="0"/>
      <w:marTop w:val="0"/>
      <w:marBottom w:val="0"/>
      <w:divBdr>
        <w:top w:val="none" w:sz="0" w:space="0" w:color="auto"/>
        <w:left w:val="none" w:sz="0" w:space="0" w:color="auto"/>
        <w:bottom w:val="none" w:sz="0" w:space="0" w:color="auto"/>
        <w:right w:val="none" w:sz="0" w:space="0" w:color="auto"/>
      </w:divBdr>
    </w:div>
    <w:div w:id="21402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2017-10-06T11:34:00Z</dcterms:created>
  <dcterms:modified xsi:type="dcterms:W3CDTF">2017-10-06T11:34:00Z</dcterms:modified>
</cp:coreProperties>
</file>